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E8B2" w14:textId="33686579" w:rsidR="00D24752" w:rsidRPr="005B145F" w:rsidRDefault="001931DC" w:rsidP="00760237">
      <w:pPr>
        <w:spacing w:after="0" w:line="259" w:lineRule="auto"/>
        <w:ind w:right="145"/>
        <w:jc w:val="center"/>
        <w:rPr>
          <w:rFonts w:cstheme="minorHAnsi"/>
          <w:b/>
          <w:bCs/>
        </w:rPr>
      </w:pPr>
      <w:r>
        <w:rPr>
          <w:rFonts w:cstheme="minorHAnsi"/>
          <w:b/>
          <w:bCs/>
          <w:color w:val="000000"/>
          <w:shd w:val="clear" w:color="auto" w:fill="FFFFFF"/>
        </w:rPr>
        <w:t>Eyes on 2022</w:t>
      </w:r>
    </w:p>
    <w:p w14:paraId="04395D92" w14:textId="2A546F96" w:rsidR="00D303DB" w:rsidRDefault="001931DC" w:rsidP="00760237">
      <w:pPr>
        <w:spacing w:after="0" w:line="240" w:lineRule="auto"/>
        <w:jc w:val="center"/>
        <w:rPr>
          <w:rFonts w:cstheme="minorHAnsi"/>
        </w:rPr>
      </w:pPr>
      <w:r>
        <w:rPr>
          <w:rFonts w:cstheme="minorHAnsi"/>
        </w:rPr>
        <w:t>December 3-5</w:t>
      </w:r>
      <w:r w:rsidR="00D24752" w:rsidRPr="00A947C3">
        <w:rPr>
          <w:rFonts w:cstheme="minorHAnsi"/>
        </w:rPr>
        <w:t>, 2021</w:t>
      </w:r>
    </w:p>
    <w:p w14:paraId="0449A64A" w14:textId="0D3D8D3F" w:rsidR="00760237" w:rsidRPr="00B8174F" w:rsidRDefault="00760237" w:rsidP="00855320">
      <w:pPr>
        <w:spacing w:after="0" w:line="240" w:lineRule="auto"/>
        <w:jc w:val="center"/>
        <w:rPr>
          <w:rFonts w:eastAsia="Times New Roman" w:cstheme="minorHAnsi"/>
          <w:color w:val="000000"/>
        </w:rPr>
      </w:pPr>
      <w:r>
        <w:rPr>
          <w:rFonts w:cstheme="minorHAnsi"/>
        </w:rPr>
        <w:t>Virtual Event</w:t>
      </w:r>
    </w:p>
    <w:p w14:paraId="282A2DCE" w14:textId="0AF5946F" w:rsidR="00584339" w:rsidRPr="00B8174F" w:rsidRDefault="00183550" w:rsidP="00D303DB">
      <w:pPr>
        <w:spacing w:after="0" w:line="240" w:lineRule="auto"/>
        <w:rPr>
          <w:rFonts w:eastAsia="Times New Roman" w:cstheme="minorHAnsi"/>
          <w:b/>
          <w:bCs/>
          <w:color w:val="000000"/>
        </w:rPr>
      </w:pPr>
      <w:r>
        <w:rPr>
          <w:rFonts w:eastAsia="Times New Roman" w:cstheme="minorHAnsi"/>
          <w:b/>
          <w:bCs/>
          <w:noProof/>
          <w:color w:val="000000"/>
        </w:rPr>
        <w:pict w14:anchorId="0A4C23FE">
          <v:rect id="_x0000_i1025" alt="" style="width:468pt;height:.05pt;mso-width-percent:0;mso-height-percent:0;mso-width-percent:0;mso-height-percent:0" o:hralign="center" o:hrstd="t" o:hr="t" fillcolor="#a0a0a0" stroked="f"/>
        </w:pict>
      </w:r>
    </w:p>
    <w:p w14:paraId="35A56C04" w14:textId="24426871" w:rsidR="00D303DB" w:rsidRPr="00B8174F" w:rsidRDefault="006A748C" w:rsidP="00D303DB">
      <w:pPr>
        <w:spacing w:after="0" w:line="240" w:lineRule="auto"/>
        <w:rPr>
          <w:rFonts w:eastAsia="Times New Roman" w:cstheme="minorHAnsi"/>
          <w:color w:val="000000"/>
        </w:rPr>
      </w:pPr>
      <w:r w:rsidRPr="00B8174F">
        <w:rPr>
          <w:rFonts w:eastAsia="Times New Roman" w:cstheme="minorHAnsi"/>
          <w:b/>
          <w:bCs/>
          <w:color w:val="000000"/>
        </w:rPr>
        <w:t>Target Audience</w:t>
      </w:r>
    </w:p>
    <w:p w14:paraId="5B25B409" w14:textId="5AABCBBF" w:rsidR="000346EE" w:rsidRDefault="003C2FE7" w:rsidP="00D303DB">
      <w:pPr>
        <w:spacing w:after="0" w:line="240" w:lineRule="auto"/>
        <w:rPr>
          <w:rFonts w:cstheme="minorHAnsi"/>
        </w:rPr>
      </w:pPr>
      <w:r w:rsidRPr="00085279">
        <w:rPr>
          <w:rFonts w:cstheme="minorHAnsi"/>
        </w:rPr>
        <w:t>Th</w:t>
      </w:r>
      <w:r w:rsidR="00686CE5" w:rsidRPr="00085279">
        <w:rPr>
          <w:rFonts w:cstheme="minorHAnsi"/>
        </w:rPr>
        <w:t xml:space="preserve">is </w:t>
      </w:r>
      <w:r w:rsidR="00085279">
        <w:rPr>
          <w:rFonts w:cstheme="minorHAnsi"/>
        </w:rPr>
        <w:t>event</w:t>
      </w:r>
      <w:r w:rsidR="00686CE5" w:rsidRPr="00085279">
        <w:rPr>
          <w:rFonts w:cstheme="minorHAnsi"/>
        </w:rPr>
        <w:t xml:space="preserve"> </w:t>
      </w:r>
      <w:r w:rsidRPr="00085279">
        <w:rPr>
          <w:rFonts w:cstheme="minorHAnsi"/>
        </w:rPr>
        <w:t xml:space="preserve">is </w:t>
      </w:r>
      <w:r w:rsidR="00686CE5" w:rsidRPr="00085279">
        <w:rPr>
          <w:rFonts w:cstheme="minorHAnsi"/>
        </w:rPr>
        <w:t xml:space="preserve">intended </w:t>
      </w:r>
      <w:r w:rsidR="000B20F4" w:rsidRPr="00085279">
        <w:rPr>
          <w:rFonts w:cstheme="minorHAnsi"/>
        </w:rPr>
        <w:t>for ophthalmologists</w:t>
      </w:r>
      <w:r w:rsidR="00085279" w:rsidRPr="00085279">
        <w:rPr>
          <w:rFonts w:cstheme="minorHAnsi"/>
        </w:rPr>
        <w:t xml:space="preserve"> and optometrists.</w:t>
      </w:r>
    </w:p>
    <w:p w14:paraId="1C60F4E7" w14:textId="77777777" w:rsidR="003C2FE7" w:rsidRDefault="003C2FE7" w:rsidP="00D303DB">
      <w:pPr>
        <w:spacing w:after="0" w:line="240" w:lineRule="auto"/>
        <w:rPr>
          <w:rFonts w:cstheme="minorHAnsi"/>
        </w:rPr>
      </w:pPr>
    </w:p>
    <w:p w14:paraId="6FECAC1E" w14:textId="517D9E10" w:rsidR="00D303DB" w:rsidRPr="00B8174F" w:rsidRDefault="006A748C" w:rsidP="00D303DB">
      <w:pPr>
        <w:spacing w:after="0" w:line="240" w:lineRule="auto"/>
        <w:rPr>
          <w:rFonts w:eastAsia="Times New Roman" w:cstheme="minorHAnsi"/>
          <w:color w:val="000000"/>
        </w:rPr>
      </w:pPr>
      <w:r w:rsidRPr="00B8174F">
        <w:rPr>
          <w:rFonts w:eastAsia="Times New Roman" w:cstheme="minorHAnsi"/>
          <w:b/>
          <w:bCs/>
          <w:color w:val="000000"/>
        </w:rPr>
        <w:t>Learning Objectives</w:t>
      </w:r>
    </w:p>
    <w:p w14:paraId="6593FFE5" w14:textId="01F5211B" w:rsidR="00D303DB" w:rsidRDefault="00D303DB" w:rsidP="00D303DB">
      <w:pPr>
        <w:spacing w:after="0" w:line="240" w:lineRule="auto"/>
        <w:rPr>
          <w:rFonts w:eastAsia="Times New Roman" w:cstheme="minorHAnsi"/>
          <w:color w:val="000000"/>
        </w:rPr>
      </w:pPr>
      <w:r w:rsidRPr="00B8174F">
        <w:rPr>
          <w:rFonts w:eastAsia="Times New Roman" w:cstheme="minorHAnsi"/>
          <w:color w:val="000000"/>
        </w:rPr>
        <w:t xml:space="preserve">Upon completion of </w:t>
      </w:r>
      <w:r w:rsidR="00D24752">
        <w:rPr>
          <w:rFonts w:eastAsia="Times New Roman" w:cstheme="minorHAnsi"/>
          <w:color w:val="000000"/>
        </w:rPr>
        <w:t>this conference</w:t>
      </w:r>
      <w:r w:rsidRPr="00B8174F">
        <w:rPr>
          <w:rFonts w:eastAsia="Times New Roman" w:cstheme="minorHAnsi"/>
          <w:color w:val="000000"/>
        </w:rPr>
        <w:t>, participants should be able to:</w:t>
      </w:r>
    </w:p>
    <w:p w14:paraId="3403C3EE" w14:textId="77777777" w:rsidR="00E01D93" w:rsidRDefault="00E01D93" w:rsidP="00D303DB">
      <w:pPr>
        <w:spacing w:after="0" w:line="240" w:lineRule="auto"/>
        <w:rPr>
          <w:rFonts w:eastAsia="Times New Roman" w:cstheme="minorHAnsi"/>
          <w:color w:val="000000"/>
        </w:rPr>
      </w:pPr>
    </w:p>
    <w:p w14:paraId="56C368FC" w14:textId="77777777" w:rsidR="001931DC" w:rsidRPr="001931DC" w:rsidRDefault="001931DC" w:rsidP="001931DC">
      <w:pPr>
        <w:pStyle w:val="ListParagraph"/>
        <w:numPr>
          <w:ilvl w:val="0"/>
          <w:numId w:val="27"/>
        </w:numPr>
        <w:tabs>
          <w:tab w:val="left" w:pos="1350"/>
          <w:tab w:val="left" w:pos="1530"/>
        </w:tabs>
        <w:spacing w:before="22" w:after="22" w:line="240" w:lineRule="auto"/>
        <w:rPr>
          <w:rFonts w:eastAsia="Times New Roman" w:cstheme="minorHAnsi"/>
          <w:color w:val="000000"/>
        </w:rPr>
      </w:pPr>
      <w:r w:rsidRPr="001931DC">
        <w:rPr>
          <w:rFonts w:eastAsia="Times New Roman" w:cstheme="minorHAnsi"/>
          <w:color w:val="000000"/>
        </w:rPr>
        <w:t>Establish best practices in glaucoma and dry eye disease management, establishing multifactorial ocular disease management in daily practice</w:t>
      </w:r>
    </w:p>
    <w:p w14:paraId="219F616B" w14:textId="77777777" w:rsidR="001931DC" w:rsidRPr="001931DC" w:rsidRDefault="001931DC" w:rsidP="001931DC">
      <w:pPr>
        <w:pStyle w:val="ListParagraph"/>
        <w:numPr>
          <w:ilvl w:val="0"/>
          <w:numId w:val="27"/>
        </w:numPr>
        <w:tabs>
          <w:tab w:val="left" w:pos="1350"/>
          <w:tab w:val="left" w:pos="1530"/>
        </w:tabs>
        <w:spacing w:before="22" w:after="22" w:line="240" w:lineRule="auto"/>
        <w:rPr>
          <w:rFonts w:eastAsia="Times New Roman" w:cstheme="minorHAnsi"/>
          <w:color w:val="000000"/>
        </w:rPr>
      </w:pPr>
      <w:r w:rsidRPr="001931DC">
        <w:rPr>
          <w:rFonts w:eastAsia="Times New Roman" w:cstheme="minorHAnsi"/>
          <w:color w:val="000000"/>
        </w:rPr>
        <w:t>Define and implement new, evidence-based treatments and technologies for dry eye disease and refractive surgery</w:t>
      </w:r>
    </w:p>
    <w:p w14:paraId="7A68FF7D" w14:textId="77777777" w:rsidR="001931DC" w:rsidRPr="001931DC" w:rsidRDefault="001931DC" w:rsidP="001931DC">
      <w:pPr>
        <w:pStyle w:val="ListParagraph"/>
        <w:numPr>
          <w:ilvl w:val="0"/>
          <w:numId w:val="27"/>
        </w:numPr>
        <w:tabs>
          <w:tab w:val="left" w:pos="1350"/>
          <w:tab w:val="left" w:pos="1530"/>
        </w:tabs>
        <w:spacing w:before="22" w:after="22" w:line="240" w:lineRule="auto"/>
        <w:rPr>
          <w:rFonts w:eastAsia="Times New Roman" w:cstheme="minorHAnsi"/>
          <w:color w:val="000000"/>
        </w:rPr>
      </w:pPr>
      <w:r w:rsidRPr="001931DC">
        <w:rPr>
          <w:rFonts w:eastAsia="Times New Roman" w:cstheme="minorHAnsi"/>
          <w:color w:val="000000"/>
        </w:rPr>
        <w:t>Appraise the quality of co-management between disciplines in surgical retina, to ensure good patient outcomes following vitrectomy and microscopic surgery</w:t>
      </w:r>
    </w:p>
    <w:p w14:paraId="51997A6F" w14:textId="0B4BF3CA" w:rsidR="00686CE5" w:rsidRPr="001931DC" w:rsidRDefault="001931DC" w:rsidP="001931DC">
      <w:pPr>
        <w:pStyle w:val="ListParagraph"/>
        <w:numPr>
          <w:ilvl w:val="0"/>
          <w:numId w:val="27"/>
        </w:numPr>
        <w:tabs>
          <w:tab w:val="left" w:pos="1350"/>
          <w:tab w:val="left" w:pos="1530"/>
        </w:tabs>
        <w:spacing w:before="22" w:after="22" w:line="240" w:lineRule="auto"/>
        <w:rPr>
          <w:rFonts w:eastAsia="Times New Roman" w:cstheme="minorHAnsi"/>
          <w:color w:val="000000"/>
        </w:rPr>
      </w:pPr>
      <w:r w:rsidRPr="001931DC">
        <w:rPr>
          <w:rFonts w:eastAsia="Times New Roman" w:cstheme="minorHAnsi"/>
          <w:color w:val="000000"/>
        </w:rPr>
        <w:t>Integrate novel research as it pertains to diagnostics and treatments of retinal diseases with current best practices to continually improve quality of patient care and patient outcomes, including the latest research on anti-VEGF treatments and alternatives</w:t>
      </w:r>
    </w:p>
    <w:p w14:paraId="7BD452F6" w14:textId="77777777" w:rsidR="001931DC" w:rsidRPr="000346EE" w:rsidRDefault="001931DC" w:rsidP="001931DC">
      <w:pPr>
        <w:tabs>
          <w:tab w:val="left" w:pos="1350"/>
          <w:tab w:val="left" w:pos="1530"/>
        </w:tabs>
        <w:spacing w:before="22" w:after="22" w:line="240" w:lineRule="auto"/>
        <w:rPr>
          <w:rFonts w:eastAsia="Times New Roman" w:cstheme="minorHAnsi"/>
          <w:color w:val="000000"/>
        </w:rPr>
      </w:pPr>
    </w:p>
    <w:p w14:paraId="5CA94FF4" w14:textId="77777777" w:rsidR="00D24752" w:rsidRPr="00D24752" w:rsidRDefault="00D24752" w:rsidP="00D24752">
      <w:pPr>
        <w:spacing w:after="0" w:line="240" w:lineRule="auto"/>
        <w:rPr>
          <w:rFonts w:eastAsia="Times New Roman" w:cstheme="minorHAnsi"/>
          <w:b/>
          <w:color w:val="000000"/>
        </w:rPr>
      </w:pPr>
      <w:r w:rsidRPr="00D24752">
        <w:rPr>
          <w:rFonts w:eastAsia="Times New Roman" w:cstheme="minorHAnsi"/>
          <w:b/>
          <w:color w:val="000000"/>
        </w:rPr>
        <w:t xml:space="preserve">Method of Participation  </w:t>
      </w:r>
    </w:p>
    <w:p w14:paraId="3F4BAB64" w14:textId="77777777" w:rsidR="005B145F" w:rsidRDefault="00D24752" w:rsidP="00D24752">
      <w:pPr>
        <w:spacing w:after="0" w:line="240" w:lineRule="auto"/>
        <w:rPr>
          <w:rFonts w:eastAsia="Times New Roman" w:cstheme="minorHAnsi"/>
          <w:bCs/>
          <w:color w:val="000000"/>
        </w:rPr>
      </w:pPr>
      <w:r w:rsidRPr="00D24752">
        <w:rPr>
          <w:rFonts w:eastAsia="Times New Roman" w:cstheme="minorHAnsi"/>
          <w:bCs/>
          <w:color w:val="000000"/>
        </w:rPr>
        <w:t>Statements of credit will be awarded based on the participant's attendance.  A statement of credit will be available upon completion of an online evaluation/claim credit form available at:</w:t>
      </w:r>
    </w:p>
    <w:p w14:paraId="37A28691" w14:textId="77777777" w:rsidR="005B145F" w:rsidRDefault="005B145F" w:rsidP="00D24752">
      <w:pPr>
        <w:spacing w:after="0" w:line="240" w:lineRule="auto"/>
        <w:rPr>
          <w:rFonts w:eastAsia="Times New Roman" w:cstheme="minorHAnsi"/>
          <w:bCs/>
          <w:color w:val="000000"/>
        </w:rPr>
      </w:pPr>
    </w:p>
    <w:p w14:paraId="0C92F673" w14:textId="7D054AC7" w:rsidR="00D24752" w:rsidRDefault="00D24752" w:rsidP="005B145F">
      <w:pPr>
        <w:spacing w:after="0" w:line="240" w:lineRule="auto"/>
        <w:rPr>
          <w:rFonts w:eastAsia="Times New Roman" w:cstheme="minorHAnsi"/>
          <w:b/>
          <w:color w:val="000000"/>
        </w:rPr>
      </w:pPr>
    </w:p>
    <w:p w14:paraId="4F12AC8D" w14:textId="250EB065" w:rsidR="00D24752" w:rsidRPr="00D24752" w:rsidRDefault="00D24752" w:rsidP="00D24752">
      <w:pPr>
        <w:spacing w:after="0" w:line="240" w:lineRule="auto"/>
        <w:jc w:val="center"/>
        <w:rPr>
          <w:rFonts w:eastAsia="Times New Roman" w:cstheme="minorHAnsi"/>
          <w:b/>
          <w:color w:val="000000"/>
        </w:rPr>
      </w:pPr>
      <w:r>
        <w:rPr>
          <w:rFonts w:eastAsia="Times New Roman" w:cstheme="minorHAnsi"/>
          <w:b/>
          <w:color w:val="000000"/>
        </w:rPr>
        <w:t xml:space="preserve">Please claim your credit by </w:t>
      </w:r>
      <w:r w:rsidR="00760237">
        <w:rPr>
          <w:rFonts w:eastAsia="Times New Roman" w:cstheme="minorHAnsi"/>
          <w:b/>
          <w:color w:val="000000"/>
        </w:rPr>
        <w:t>December 31</w:t>
      </w:r>
      <w:r w:rsidR="005B145F">
        <w:rPr>
          <w:rFonts w:eastAsia="Times New Roman" w:cstheme="minorHAnsi"/>
          <w:b/>
          <w:color w:val="000000"/>
        </w:rPr>
        <w:t>,</w:t>
      </w:r>
      <w:r>
        <w:rPr>
          <w:rFonts w:eastAsia="Times New Roman" w:cstheme="minorHAnsi"/>
          <w:b/>
          <w:color w:val="000000"/>
        </w:rPr>
        <w:t xml:space="preserve"> 2021.</w:t>
      </w:r>
    </w:p>
    <w:p w14:paraId="7763662B" w14:textId="3B57BABA" w:rsidR="002D28F4" w:rsidRDefault="00D24752" w:rsidP="00D24752">
      <w:pPr>
        <w:spacing w:after="0" w:line="240" w:lineRule="auto"/>
        <w:jc w:val="center"/>
        <w:rPr>
          <w:rFonts w:eastAsia="Times New Roman" w:cstheme="minorHAnsi"/>
          <w:bCs/>
          <w:color w:val="000000"/>
        </w:rPr>
      </w:pPr>
      <w:r w:rsidRPr="00D24752">
        <w:rPr>
          <w:rFonts w:eastAsia="Times New Roman" w:cstheme="minorHAnsi"/>
          <w:bCs/>
          <w:color w:val="000000"/>
        </w:rPr>
        <w:t xml:space="preserve">If you have questions about this CE activity, please contact AKH Inc at </w:t>
      </w:r>
      <w:hyperlink r:id="rId8" w:history="1">
        <w:r w:rsidRPr="00D24752">
          <w:rPr>
            <w:rStyle w:val="Hyperlink"/>
            <w:rFonts w:eastAsia="Times New Roman" w:cstheme="minorHAnsi"/>
            <w:bCs/>
          </w:rPr>
          <w:t>joldman@akhcme.com</w:t>
        </w:r>
      </w:hyperlink>
      <w:r w:rsidRPr="00D24752">
        <w:rPr>
          <w:rFonts w:eastAsia="Times New Roman" w:cstheme="minorHAnsi"/>
          <w:bCs/>
          <w:color w:val="000000"/>
        </w:rPr>
        <w:t>.</w:t>
      </w:r>
    </w:p>
    <w:p w14:paraId="59773AC4" w14:textId="1374801C" w:rsidR="00704C2A" w:rsidRPr="00D24752" w:rsidRDefault="00034823" w:rsidP="00D24752">
      <w:pPr>
        <w:spacing w:after="0" w:line="240" w:lineRule="auto"/>
        <w:jc w:val="center"/>
        <w:rPr>
          <w:rFonts w:eastAsia="Times New Roman" w:cstheme="minorHAnsi"/>
          <w:bCs/>
          <w:color w:val="000000"/>
        </w:rPr>
      </w:pPr>
      <w:r w:rsidRPr="00D24752">
        <w:rPr>
          <w:rFonts w:cstheme="minorHAnsi"/>
          <w:bCs/>
          <w:color w:val="505050"/>
          <w:highlight w:val="yellow"/>
          <w:shd w:val="clear" w:color="auto" w:fill="FFFFFF"/>
        </w:rPr>
        <w:br/>
      </w:r>
    </w:p>
    <w:p w14:paraId="55CAF8DF" w14:textId="2A0CD0A4" w:rsidR="00D303DB" w:rsidRPr="000346EE" w:rsidRDefault="001931DC" w:rsidP="00D303DB">
      <w:pPr>
        <w:spacing w:after="0" w:line="240" w:lineRule="auto"/>
        <w:rPr>
          <w:rFonts w:eastAsia="Times New Roman" w:cstheme="minorHAnsi"/>
          <w:b/>
          <w:bCs/>
          <w:shd w:val="clear" w:color="auto" w:fill="FFFFFF"/>
        </w:rPr>
      </w:pPr>
      <w:bookmarkStart w:id="0" w:name="_Hlk61614346"/>
      <w:r>
        <w:rPr>
          <w:rFonts w:eastAsia="Times New Roman" w:cstheme="minorHAnsi"/>
          <w:b/>
          <w:bCs/>
          <w:noProof/>
          <w:shd w:val="clear" w:color="auto" w:fill="FFFFFF"/>
        </w:rPr>
        <w:drawing>
          <wp:anchor distT="0" distB="0" distL="114300" distR="114300" simplePos="0" relativeHeight="251666432" behindDoc="0" locked="0" layoutInCell="1" allowOverlap="1" wp14:anchorId="48ACFBFE" wp14:editId="4DC6470E">
            <wp:simplePos x="0" y="0"/>
            <wp:positionH relativeFrom="column">
              <wp:posOffset>-2540</wp:posOffset>
            </wp:positionH>
            <wp:positionV relativeFrom="paragraph">
              <wp:posOffset>-1270</wp:posOffset>
            </wp:positionV>
            <wp:extent cx="1426210" cy="53911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1426210" cy="539115"/>
                    </a:xfrm>
                    <a:prstGeom prst="rect">
                      <a:avLst/>
                    </a:prstGeom>
                  </pic:spPr>
                </pic:pic>
              </a:graphicData>
            </a:graphic>
            <wp14:sizeRelH relativeFrom="margin">
              <wp14:pctWidth>0</wp14:pctWidth>
            </wp14:sizeRelH>
            <wp14:sizeRelV relativeFrom="margin">
              <wp14:pctHeight>0</wp14:pctHeight>
            </wp14:sizeRelV>
          </wp:anchor>
        </w:drawing>
      </w:r>
      <w:r w:rsidR="00855D53" w:rsidRPr="000346EE">
        <w:rPr>
          <w:rFonts w:eastAsia="Times New Roman" w:cstheme="minorHAnsi"/>
          <w:b/>
          <w:bCs/>
          <w:shd w:val="clear" w:color="auto" w:fill="FFFFFF"/>
        </w:rPr>
        <w:t xml:space="preserve">CE credit provided by AKH Inc., Advancing Knowledge in Healthcare.  This activity is jointly-provided by AKH Inc., Advancing Knowledge in Healthcare and </w:t>
      </w:r>
      <w:proofErr w:type="spellStart"/>
      <w:r w:rsidR="000346EE" w:rsidRPr="000346EE">
        <w:rPr>
          <w:rFonts w:eastAsia="Times New Roman" w:cstheme="minorHAnsi"/>
          <w:b/>
          <w:bCs/>
        </w:rPr>
        <w:t>iVista</w:t>
      </w:r>
      <w:proofErr w:type="spellEnd"/>
      <w:r w:rsidR="000346EE" w:rsidRPr="000346EE">
        <w:rPr>
          <w:rFonts w:eastAsia="Times New Roman" w:cstheme="minorHAnsi"/>
          <w:b/>
          <w:bCs/>
        </w:rPr>
        <w:t xml:space="preserve"> Medical Education, Inc</w:t>
      </w:r>
      <w:r w:rsidR="00D24752" w:rsidRPr="000346EE">
        <w:rPr>
          <w:rFonts w:eastAsia="Times New Roman" w:cstheme="minorHAnsi"/>
          <w:b/>
          <w:bCs/>
          <w:shd w:val="clear" w:color="auto" w:fill="FFFFFF"/>
        </w:rPr>
        <w:t>.</w:t>
      </w:r>
    </w:p>
    <w:p w14:paraId="381A3367" w14:textId="77777777" w:rsidR="000346EE" w:rsidRPr="00B8174F" w:rsidRDefault="000346EE" w:rsidP="00D303DB">
      <w:pPr>
        <w:spacing w:after="0" w:line="240" w:lineRule="auto"/>
        <w:rPr>
          <w:rFonts w:eastAsia="Times New Roman" w:cstheme="minorHAnsi"/>
          <w:b/>
          <w:bCs/>
          <w:shd w:val="clear" w:color="auto" w:fill="FFFFFF"/>
        </w:rPr>
      </w:pPr>
    </w:p>
    <w:p w14:paraId="17AEC636" w14:textId="5EC68AEB" w:rsidR="00011E9A" w:rsidRDefault="00011E9A" w:rsidP="00D303DB">
      <w:pPr>
        <w:spacing w:after="0" w:line="240" w:lineRule="auto"/>
        <w:rPr>
          <w:rFonts w:eastAsia="Times New Roman" w:cstheme="minorHAnsi"/>
          <w:b/>
          <w:bCs/>
          <w:shd w:val="clear" w:color="auto" w:fill="FFFFFF"/>
        </w:rPr>
      </w:pPr>
    </w:p>
    <w:p w14:paraId="2F47B78F" w14:textId="20970555" w:rsidR="000346EE" w:rsidRDefault="000346EE" w:rsidP="000346EE">
      <w:pPr>
        <w:spacing w:after="0" w:line="240" w:lineRule="auto"/>
        <w:rPr>
          <w:rFonts w:cstheme="minorHAnsi"/>
          <w:bCs/>
        </w:rPr>
      </w:pPr>
      <w:r w:rsidRPr="009675A3">
        <w:rPr>
          <w:rFonts w:eastAsia="Times New Roman" w:cstheme="minorHAnsi"/>
          <w:noProof/>
          <w:color w:val="000000"/>
        </w:rPr>
        <w:drawing>
          <wp:anchor distT="0" distB="0" distL="114300" distR="114300" simplePos="0" relativeHeight="251665408" behindDoc="0" locked="0" layoutInCell="1" allowOverlap="1" wp14:anchorId="7244C7AA" wp14:editId="5A96073F">
            <wp:simplePos x="0" y="0"/>
            <wp:positionH relativeFrom="column">
              <wp:posOffset>-3810</wp:posOffset>
            </wp:positionH>
            <wp:positionV relativeFrom="paragraph">
              <wp:posOffset>39370</wp:posOffset>
            </wp:positionV>
            <wp:extent cx="1426210" cy="97917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6210" cy="979170"/>
                    </a:xfrm>
                    <a:prstGeom prst="rect">
                      <a:avLst/>
                    </a:prstGeom>
                  </pic:spPr>
                </pic:pic>
              </a:graphicData>
            </a:graphic>
            <wp14:sizeRelH relativeFrom="margin">
              <wp14:pctWidth>0</wp14:pctWidth>
            </wp14:sizeRelH>
            <wp14:sizeRelV relativeFrom="margin">
              <wp14:pctHeight>0</wp14:pctHeight>
            </wp14:sizeRelV>
          </wp:anchor>
        </w:drawing>
      </w:r>
      <w:r w:rsidRPr="009675A3">
        <w:rPr>
          <w:rFonts w:cstheme="minorHAnsi"/>
          <w:bCs/>
        </w:rPr>
        <w:t xml:space="preserve">In support of improving patient care, this activity has been planned and implemented by AKH Inc., Advancing Knowledge in Healthcare and </w:t>
      </w:r>
      <w:proofErr w:type="spellStart"/>
      <w:r w:rsidRPr="009675A3">
        <w:rPr>
          <w:rFonts w:eastAsia="Times New Roman" w:cstheme="minorHAnsi"/>
        </w:rPr>
        <w:t>iVista</w:t>
      </w:r>
      <w:proofErr w:type="spellEnd"/>
      <w:r w:rsidRPr="009675A3">
        <w:rPr>
          <w:rFonts w:eastAsia="Times New Roman" w:cstheme="minorHAnsi"/>
        </w:rPr>
        <w:t xml:space="preserve"> Medical Education, Inc</w:t>
      </w:r>
      <w:r w:rsidRPr="009675A3">
        <w:rPr>
          <w:rFonts w:cstheme="minorHAnsi"/>
        </w:rPr>
        <w:t>.</w:t>
      </w:r>
      <w:r w:rsidRPr="009675A3">
        <w:rPr>
          <w:rFonts w:cstheme="minorHAnsi"/>
          <w:bCs/>
        </w:rPr>
        <w:t xml:space="preserve"> AKH Inc., Advancing Knowledge in Healthcare is jointly accredited by the Accreditation Council for Continuing Medical Education (ACCME), the Accreditation Council for Pharmacy Education (ACPE), and the American Nurses Credentialing Center (ANCC), to provide continuing education for the healthcare team.</w:t>
      </w:r>
    </w:p>
    <w:p w14:paraId="6D59B05A" w14:textId="77777777" w:rsidR="000346EE" w:rsidRPr="009675A3" w:rsidRDefault="000346EE" w:rsidP="000346EE">
      <w:pPr>
        <w:spacing w:after="0" w:line="240" w:lineRule="auto"/>
        <w:rPr>
          <w:rFonts w:eastAsia="Times New Roman" w:cstheme="minorHAnsi"/>
          <w:color w:val="000000"/>
        </w:rPr>
      </w:pPr>
    </w:p>
    <w:p w14:paraId="24CF70DF" w14:textId="77777777" w:rsidR="000346EE" w:rsidRPr="009675A3" w:rsidRDefault="000346EE" w:rsidP="000346EE">
      <w:pPr>
        <w:spacing w:after="0" w:line="240" w:lineRule="auto"/>
        <w:rPr>
          <w:rFonts w:cstheme="minorHAnsi"/>
          <w:b/>
        </w:rPr>
      </w:pPr>
      <w:r w:rsidRPr="009675A3">
        <w:rPr>
          <w:rFonts w:cstheme="minorHAnsi"/>
          <w:b/>
        </w:rPr>
        <w:t>Physicians</w:t>
      </w:r>
    </w:p>
    <w:p w14:paraId="4529DE5F" w14:textId="69E3B677" w:rsidR="000346EE" w:rsidRDefault="000346EE" w:rsidP="000346EE">
      <w:pPr>
        <w:spacing w:after="0" w:line="240" w:lineRule="auto"/>
        <w:rPr>
          <w:rFonts w:cstheme="minorHAnsi"/>
          <w:bCs/>
        </w:rPr>
      </w:pPr>
      <w:r w:rsidRPr="009675A3">
        <w:rPr>
          <w:rFonts w:cstheme="minorHAnsi"/>
          <w:bCs/>
        </w:rPr>
        <w:t xml:space="preserve">AKH Inc., Advancing Knowledge in Healthcare designates this </w:t>
      </w:r>
      <w:r>
        <w:rPr>
          <w:rFonts w:cstheme="minorHAnsi"/>
          <w:bCs/>
        </w:rPr>
        <w:t>live</w:t>
      </w:r>
      <w:r w:rsidRPr="009675A3">
        <w:rPr>
          <w:rFonts w:cstheme="minorHAnsi"/>
          <w:bCs/>
        </w:rPr>
        <w:t xml:space="preserve"> activity for a maximum of </w:t>
      </w:r>
      <w:r w:rsidR="001931DC">
        <w:rPr>
          <w:rFonts w:cstheme="minorHAnsi"/>
          <w:bCs/>
        </w:rPr>
        <w:t>7</w:t>
      </w:r>
      <w:r w:rsidR="003C2FE7">
        <w:rPr>
          <w:rFonts w:cstheme="minorHAnsi"/>
          <w:bCs/>
        </w:rPr>
        <w:t>.0</w:t>
      </w:r>
      <w:r w:rsidRPr="009675A3">
        <w:rPr>
          <w:rFonts w:cstheme="minorHAnsi"/>
          <w:bCs/>
        </w:rPr>
        <w:t xml:space="preserve"> </w:t>
      </w:r>
      <w:r w:rsidRPr="009675A3">
        <w:rPr>
          <w:rFonts w:cstheme="minorHAnsi"/>
          <w:bCs/>
          <w:i/>
          <w:iCs/>
        </w:rPr>
        <w:t>AMA PRA Category 1 Credit(s)™</w:t>
      </w:r>
      <w:r w:rsidRPr="009675A3">
        <w:rPr>
          <w:rFonts w:cstheme="minorHAnsi"/>
          <w:bCs/>
        </w:rPr>
        <w:t xml:space="preserve">. </w:t>
      </w:r>
    </w:p>
    <w:p w14:paraId="6F7DAAE6" w14:textId="431228AC" w:rsidR="0075681E" w:rsidRDefault="0075681E" w:rsidP="000346EE">
      <w:pPr>
        <w:spacing w:after="0" w:line="240" w:lineRule="auto"/>
        <w:rPr>
          <w:rFonts w:cstheme="minorHAnsi"/>
          <w:bCs/>
        </w:rPr>
      </w:pPr>
    </w:p>
    <w:p w14:paraId="4C3BBD79" w14:textId="420F4BCA" w:rsidR="0016679A" w:rsidRPr="00B8174F" w:rsidRDefault="006A748C" w:rsidP="0016679A">
      <w:pPr>
        <w:spacing w:after="0" w:line="240" w:lineRule="auto"/>
        <w:rPr>
          <w:rFonts w:eastAsia="Times New Roman" w:cstheme="minorHAnsi"/>
          <w:b/>
          <w:bCs/>
          <w:color w:val="000000"/>
        </w:rPr>
      </w:pPr>
      <w:bookmarkStart w:id="1" w:name="_Hlk65574002"/>
      <w:bookmarkEnd w:id="0"/>
      <w:r w:rsidRPr="00B8174F">
        <w:rPr>
          <w:rFonts w:eastAsia="Times New Roman" w:cstheme="minorHAnsi"/>
          <w:b/>
          <w:bCs/>
          <w:color w:val="000000"/>
        </w:rPr>
        <w:t>Commercial Support</w:t>
      </w:r>
    </w:p>
    <w:p w14:paraId="04AF5369" w14:textId="10F52DF1" w:rsidR="00235C78" w:rsidRDefault="00B7254E" w:rsidP="0006405F">
      <w:pPr>
        <w:spacing w:after="0" w:line="240" w:lineRule="auto"/>
        <w:rPr>
          <w:rFonts w:eastAsia="Times New Roman" w:cstheme="minorHAnsi"/>
        </w:rPr>
      </w:pPr>
      <w:bookmarkStart w:id="2" w:name="_Hlk61614409"/>
      <w:bookmarkEnd w:id="1"/>
      <w:r w:rsidRPr="00B7254E">
        <w:rPr>
          <w:rFonts w:eastAsia="Times New Roman" w:cstheme="minorHAnsi"/>
        </w:rPr>
        <w:t xml:space="preserve">This activity is supported from an independent medical education grant from Alcon, Johnson &amp; Johnson, Sight Sciences, Sun Pharma, and </w:t>
      </w:r>
      <w:proofErr w:type="spellStart"/>
      <w:r w:rsidRPr="00B7254E">
        <w:rPr>
          <w:rFonts w:eastAsia="Times New Roman" w:cstheme="minorHAnsi"/>
        </w:rPr>
        <w:t>Visus</w:t>
      </w:r>
      <w:proofErr w:type="spellEnd"/>
      <w:r w:rsidRPr="00B7254E">
        <w:rPr>
          <w:rFonts w:eastAsia="Times New Roman" w:cstheme="minorHAnsi"/>
        </w:rPr>
        <w:t xml:space="preserve"> Therapeutic, Inc.</w:t>
      </w:r>
    </w:p>
    <w:p w14:paraId="28F0356B" w14:textId="77777777" w:rsidR="00B7254E" w:rsidRDefault="00B7254E" w:rsidP="0006405F">
      <w:pPr>
        <w:spacing w:after="0" w:line="240" w:lineRule="auto"/>
        <w:rPr>
          <w:rFonts w:eastAsia="Times New Roman" w:cstheme="minorHAnsi"/>
          <w:b/>
          <w:bCs/>
          <w:color w:val="000000"/>
        </w:rPr>
      </w:pPr>
    </w:p>
    <w:p w14:paraId="7DC2E9F4" w14:textId="42B3787F" w:rsidR="0006405F" w:rsidRPr="00B8174F" w:rsidRDefault="0006405F" w:rsidP="0006405F">
      <w:pPr>
        <w:spacing w:after="0" w:line="240" w:lineRule="auto"/>
        <w:rPr>
          <w:rFonts w:eastAsia="Times New Roman" w:cstheme="minorHAnsi"/>
          <w:b/>
          <w:bCs/>
          <w:color w:val="000000"/>
        </w:rPr>
      </w:pPr>
      <w:r w:rsidRPr="00B8174F">
        <w:rPr>
          <w:rFonts w:eastAsia="Times New Roman" w:cstheme="minorHAnsi"/>
          <w:b/>
          <w:bCs/>
          <w:color w:val="000000"/>
        </w:rPr>
        <w:t>Disclosures</w:t>
      </w:r>
    </w:p>
    <w:p w14:paraId="39962030" w14:textId="77777777" w:rsidR="0006405F" w:rsidRDefault="0006405F" w:rsidP="0006405F">
      <w:pPr>
        <w:spacing w:after="0" w:line="240" w:lineRule="auto"/>
        <w:rPr>
          <w:rFonts w:eastAsia="Times New Roman" w:cstheme="minorHAnsi"/>
          <w:color w:val="000000"/>
        </w:rPr>
      </w:pPr>
      <w:r w:rsidRPr="007C3B91">
        <w:rPr>
          <w:rFonts w:eastAsia="Times New Roman" w:cstheme="minorHAnsi"/>
          <w:color w:val="000000"/>
        </w:rPr>
        <w:t>It is the policy of AKH Inc. to ensure independence, balance, objectivity, scientific rigor, and integrity in all of its continuing education activities. The planners and faculty must disclose to the participants any significant relationships with ineligible companies whose primary business is producing, marketing, selling, re-selling, or distributing healthcare products used by or on patients.” or with the commercial supporter of this accredited continuing education activity. Identified conflicts of interest are mitigated by AKH prior to the planners/faculty assuming their role in this accredited continuing education activity.</w:t>
      </w:r>
    </w:p>
    <w:bookmarkEnd w:id="2"/>
    <w:p w14:paraId="4355D30A" w14:textId="4E8E0C2A" w:rsidR="00D24752" w:rsidRDefault="00D24752" w:rsidP="00B8174F">
      <w:pPr>
        <w:pStyle w:val="PlainTex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65"/>
        <w:gridCol w:w="1980"/>
        <w:gridCol w:w="4675"/>
      </w:tblGrid>
      <w:tr w:rsidR="005D7A2B" w:rsidRPr="001931DC" w14:paraId="1319A009" w14:textId="77777777" w:rsidTr="00D24752">
        <w:tc>
          <w:tcPr>
            <w:tcW w:w="10520" w:type="dxa"/>
            <w:gridSpan w:val="3"/>
            <w:shd w:val="clear" w:color="auto" w:fill="000000" w:themeFill="text1"/>
          </w:tcPr>
          <w:p w14:paraId="0BDC0788" w14:textId="00911ACB" w:rsidR="00D24752" w:rsidRPr="001931DC" w:rsidRDefault="00D24752" w:rsidP="00B8174F">
            <w:pPr>
              <w:pStyle w:val="PlainText"/>
              <w:rPr>
                <w:rFonts w:asciiTheme="minorHAnsi" w:hAnsiTheme="minorHAnsi" w:cstheme="minorHAnsi"/>
                <w:b/>
                <w:bCs/>
              </w:rPr>
            </w:pPr>
            <w:r w:rsidRPr="001931DC">
              <w:rPr>
                <w:rFonts w:asciiTheme="minorHAnsi" w:hAnsiTheme="minorHAnsi" w:cstheme="minorHAnsi"/>
                <w:b/>
                <w:bCs/>
              </w:rPr>
              <w:lastRenderedPageBreak/>
              <w:t>DISCLOSURES</w:t>
            </w:r>
          </w:p>
        </w:tc>
      </w:tr>
      <w:tr w:rsidR="00095493" w:rsidRPr="001931DC" w14:paraId="321572F2" w14:textId="77777777" w:rsidTr="001931DC">
        <w:tc>
          <w:tcPr>
            <w:tcW w:w="3865" w:type="dxa"/>
            <w:tcBorders>
              <w:bottom w:val="single" w:sz="4" w:space="0" w:color="auto"/>
            </w:tcBorders>
            <w:shd w:val="clear" w:color="auto" w:fill="808080" w:themeFill="background1" w:themeFillShade="80"/>
          </w:tcPr>
          <w:p w14:paraId="591D3283" w14:textId="078F1DCD" w:rsidR="00D24752" w:rsidRPr="001931DC" w:rsidRDefault="00D24752" w:rsidP="00B8174F">
            <w:pPr>
              <w:pStyle w:val="PlainText"/>
              <w:rPr>
                <w:rFonts w:asciiTheme="minorHAnsi" w:hAnsiTheme="minorHAnsi" w:cstheme="minorHAnsi"/>
                <w:color w:val="FFFFFF" w:themeColor="background1"/>
              </w:rPr>
            </w:pPr>
            <w:r w:rsidRPr="001931DC">
              <w:rPr>
                <w:rFonts w:asciiTheme="minorHAnsi" w:hAnsiTheme="minorHAnsi" w:cstheme="minorHAnsi"/>
                <w:color w:val="FFFFFF" w:themeColor="background1"/>
              </w:rPr>
              <w:t>Name</w:t>
            </w:r>
          </w:p>
        </w:tc>
        <w:tc>
          <w:tcPr>
            <w:tcW w:w="1980" w:type="dxa"/>
            <w:tcBorders>
              <w:bottom w:val="single" w:sz="4" w:space="0" w:color="auto"/>
            </w:tcBorders>
            <w:shd w:val="clear" w:color="auto" w:fill="808080" w:themeFill="background1" w:themeFillShade="80"/>
          </w:tcPr>
          <w:p w14:paraId="5027C31A" w14:textId="58B1ED97" w:rsidR="00D24752" w:rsidRPr="001931DC" w:rsidRDefault="00D24752" w:rsidP="00B8174F">
            <w:pPr>
              <w:pStyle w:val="PlainText"/>
              <w:rPr>
                <w:rFonts w:asciiTheme="minorHAnsi" w:hAnsiTheme="minorHAnsi" w:cstheme="minorHAnsi"/>
                <w:color w:val="FFFFFF" w:themeColor="background1"/>
              </w:rPr>
            </w:pPr>
            <w:r w:rsidRPr="001931DC">
              <w:rPr>
                <w:rFonts w:asciiTheme="minorHAnsi" w:hAnsiTheme="minorHAnsi" w:cstheme="minorHAnsi"/>
                <w:color w:val="FFFFFF" w:themeColor="background1"/>
              </w:rPr>
              <w:t>Relationship</w:t>
            </w:r>
          </w:p>
        </w:tc>
        <w:tc>
          <w:tcPr>
            <w:tcW w:w="4675" w:type="dxa"/>
            <w:tcBorders>
              <w:bottom w:val="single" w:sz="4" w:space="0" w:color="auto"/>
            </w:tcBorders>
            <w:shd w:val="clear" w:color="auto" w:fill="808080" w:themeFill="background1" w:themeFillShade="80"/>
          </w:tcPr>
          <w:p w14:paraId="20748B6C" w14:textId="214CF63F" w:rsidR="00D24752" w:rsidRPr="001931DC" w:rsidRDefault="00D24752" w:rsidP="00B8174F">
            <w:pPr>
              <w:pStyle w:val="PlainText"/>
              <w:rPr>
                <w:rFonts w:asciiTheme="minorHAnsi" w:hAnsiTheme="minorHAnsi" w:cstheme="minorHAnsi"/>
                <w:color w:val="FFFFFF" w:themeColor="background1"/>
              </w:rPr>
            </w:pPr>
            <w:r w:rsidRPr="001931DC">
              <w:rPr>
                <w:rFonts w:asciiTheme="minorHAnsi" w:hAnsiTheme="minorHAnsi" w:cstheme="minorHAnsi"/>
                <w:color w:val="FFFFFF" w:themeColor="background1"/>
              </w:rPr>
              <w:t>Commercial Interest</w:t>
            </w:r>
          </w:p>
        </w:tc>
      </w:tr>
      <w:tr w:rsidR="00085279" w:rsidRPr="001931DC" w14:paraId="2178D9DD" w14:textId="77777777" w:rsidTr="001931DC">
        <w:tc>
          <w:tcPr>
            <w:tcW w:w="3865" w:type="dxa"/>
            <w:tcBorders>
              <w:top w:val="single" w:sz="4" w:space="0" w:color="auto"/>
              <w:left w:val="single" w:sz="4" w:space="0" w:color="auto"/>
              <w:bottom w:val="single" w:sz="4" w:space="0" w:color="auto"/>
              <w:right w:val="single" w:sz="4" w:space="0" w:color="auto"/>
            </w:tcBorders>
            <w:shd w:val="clear" w:color="auto" w:fill="auto"/>
          </w:tcPr>
          <w:p w14:paraId="277AD18B" w14:textId="19456FCF" w:rsidR="00085279" w:rsidRPr="001931DC" w:rsidRDefault="00085279" w:rsidP="00085279">
            <w:pPr>
              <w:pStyle w:val="PlainText"/>
              <w:rPr>
                <w:rFonts w:asciiTheme="minorHAnsi" w:hAnsiTheme="minorHAnsi" w:cstheme="minorHAnsi"/>
                <w:b/>
                <w:bCs/>
              </w:rPr>
            </w:pPr>
            <w:r w:rsidRPr="001931DC">
              <w:rPr>
                <w:rFonts w:asciiTheme="minorHAnsi" w:hAnsiTheme="minorHAnsi" w:cstheme="minorHAnsi"/>
                <w:b/>
                <w:bCs/>
              </w:rPr>
              <w:t>Christopher R. Adam, MD</w:t>
            </w:r>
            <w:r>
              <w:rPr>
                <w:rFonts w:asciiTheme="minorHAnsi" w:hAnsiTheme="minorHAnsi" w:cstheme="minorHAnsi"/>
                <w:b/>
                <w:bCs/>
              </w:rPr>
              <w:t xml:space="preserve"> (faculty)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DC592CB" w14:textId="5B780D2F" w:rsidR="00085279" w:rsidRPr="001931DC" w:rsidRDefault="00085279" w:rsidP="00085279">
            <w:pPr>
              <w:pStyle w:val="PlainText"/>
              <w:rPr>
                <w:rFonts w:asciiTheme="minorHAnsi" w:hAnsiTheme="minorHAnsi" w:cstheme="minorHAnsi"/>
              </w:rPr>
            </w:pPr>
            <w:r w:rsidRPr="001931DC">
              <w:rPr>
                <w:rFonts w:asciiTheme="minorHAnsi" w:hAnsiTheme="minorHAnsi" w:cstheme="minorHAnsi"/>
              </w:rPr>
              <w:t>N/A</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0F9D52A9" w14:textId="279EA961" w:rsidR="00085279" w:rsidRPr="001931DC" w:rsidRDefault="00085279" w:rsidP="00085279">
            <w:pPr>
              <w:pStyle w:val="PlainText"/>
              <w:rPr>
                <w:rFonts w:asciiTheme="minorHAnsi" w:hAnsiTheme="minorHAnsi" w:cstheme="minorHAnsi"/>
              </w:rPr>
            </w:pPr>
            <w:r w:rsidRPr="001931DC">
              <w:rPr>
                <w:rFonts w:asciiTheme="minorHAnsi" w:hAnsiTheme="minorHAnsi" w:cstheme="minorHAnsi"/>
              </w:rPr>
              <w:t>Nothing to disclose</w:t>
            </w:r>
          </w:p>
        </w:tc>
      </w:tr>
      <w:tr w:rsidR="00085279" w:rsidRPr="001931DC" w14:paraId="713F525D" w14:textId="77777777" w:rsidTr="001931DC">
        <w:tc>
          <w:tcPr>
            <w:tcW w:w="3865" w:type="dxa"/>
            <w:tcBorders>
              <w:top w:val="single" w:sz="4" w:space="0" w:color="auto"/>
              <w:left w:val="single" w:sz="4" w:space="0" w:color="auto"/>
              <w:bottom w:val="single" w:sz="4" w:space="0" w:color="auto"/>
              <w:right w:val="single" w:sz="4" w:space="0" w:color="auto"/>
            </w:tcBorders>
            <w:shd w:val="clear" w:color="auto" w:fill="auto"/>
          </w:tcPr>
          <w:p w14:paraId="629FD65B" w14:textId="08922082" w:rsidR="00085279" w:rsidRPr="001931DC" w:rsidRDefault="00085279" w:rsidP="00085279">
            <w:pPr>
              <w:pStyle w:val="PlainText"/>
              <w:rPr>
                <w:rFonts w:asciiTheme="minorHAnsi" w:hAnsiTheme="minorHAnsi" w:cstheme="minorHAnsi"/>
                <w:b/>
                <w:bCs/>
              </w:rPr>
            </w:pPr>
            <w:r w:rsidRPr="001931DC">
              <w:rPr>
                <w:rFonts w:asciiTheme="minorHAnsi" w:hAnsiTheme="minorHAnsi" w:cstheme="minorHAnsi"/>
                <w:b/>
                <w:bCs/>
              </w:rPr>
              <w:t>Michael J. Ammar, MD</w:t>
            </w:r>
            <w:r>
              <w:rPr>
                <w:rFonts w:asciiTheme="minorHAnsi" w:hAnsiTheme="minorHAnsi" w:cstheme="minorHAnsi"/>
                <w:b/>
                <w:bCs/>
              </w:rPr>
              <w:t xml:space="preserve"> (faculty)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8EF5C8B" w14:textId="21AD8DFE" w:rsidR="00085279" w:rsidRPr="001931DC" w:rsidRDefault="00085279" w:rsidP="00085279">
            <w:pPr>
              <w:pStyle w:val="PlainText"/>
              <w:rPr>
                <w:rFonts w:asciiTheme="minorHAnsi" w:hAnsiTheme="minorHAnsi" w:cstheme="minorHAnsi"/>
              </w:rPr>
            </w:pPr>
            <w:r w:rsidRPr="001931DC">
              <w:rPr>
                <w:rFonts w:asciiTheme="minorHAnsi" w:hAnsiTheme="minorHAnsi" w:cstheme="minorHAnsi"/>
              </w:rPr>
              <w:t>N/A</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01BE012A" w14:textId="1A2D14F4" w:rsidR="00085279" w:rsidRPr="001931DC" w:rsidRDefault="00085279" w:rsidP="00085279">
            <w:pPr>
              <w:pStyle w:val="PlainText"/>
              <w:rPr>
                <w:rFonts w:asciiTheme="minorHAnsi" w:hAnsiTheme="minorHAnsi" w:cstheme="minorHAnsi"/>
              </w:rPr>
            </w:pPr>
            <w:r w:rsidRPr="001931DC">
              <w:rPr>
                <w:rFonts w:asciiTheme="minorHAnsi" w:hAnsiTheme="minorHAnsi" w:cstheme="minorHAnsi"/>
              </w:rPr>
              <w:t>Nothing to disclose</w:t>
            </w:r>
          </w:p>
        </w:tc>
      </w:tr>
      <w:tr w:rsidR="00085279" w:rsidRPr="001931DC" w14:paraId="187B5E19" w14:textId="77777777" w:rsidTr="001931DC">
        <w:tc>
          <w:tcPr>
            <w:tcW w:w="3865" w:type="dxa"/>
            <w:tcBorders>
              <w:top w:val="single" w:sz="4" w:space="0" w:color="auto"/>
              <w:left w:val="single" w:sz="4" w:space="0" w:color="auto"/>
              <w:bottom w:val="single" w:sz="4" w:space="0" w:color="auto"/>
              <w:right w:val="single" w:sz="4" w:space="0" w:color="auto"/>
            </w:tcBorders>
            <w:shd w:val="clear" w:color="auto" w:fill="auto"/>
          </w:tcPr>
          <w:p w14:paraId="76DB5502" w14:textId="0E96D5A5" w:rsidR="00085279" w:rsidRPr="001931DC" w:rsidRDefault="00085279" w:rsidP="00085279">
            <w:pPr>
              <w:pStyle w:val="PlainText"/>
              <w:rPr>
                <w:rFonts w:asciiTheme="minorHAnsi" w:hAnsiTheme="minorHAnsi" w:cstheme="minorHAnsi"/>
                <w:b/>
                <w:bCs/>
              </w:rPr>
            </w:pPr>
            <w:r w:rsidRPr="001931DC">
              <w:rPr>
                <w:rFonts w:asciiTheme="minorHAnsi" w:hAnsiTheme="minorHAnsi" w:cstheme="minorHAnsi"/>
                <w:b/>
                <w:bCs/>
              </w:rPr>
              <w:t>Ashley Brissette, MD, MSc, FRCSC</w:t>
            </w:r>
            <w:r>
              <w:rPr>
                <w:rFonts w:asciiTheme="minorHAnsi" w:hAnsiTheme="minorHAnsi" w:cstheme="minorHAnsi"/>
                <w:b/>
                <w:bCs/>
              </w:rPr>
              <w:t xml:space="preserve"> (faculty)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759350C" w14:textId="31CE52F7" w:rsidR="00085279" w:rsidRPr="001931DC" w:rsidRDefault="00085279" w:rsidP="00085279">
            <w:pPr>
              <w:pStyle w:val="PlainText"/>
              <w:rPr>
                <w:rFonts w:asciiTheme="minorHAnsi" w:hAnsiTheme="minorHAnsi" w:cstheme="minorHAnsi"/>
              </w:rPr>
            </w:pPr>
            <w:r w:rsidRPr="001931DC">
              <w:rPr>
                <w:rFonts w:asciiTheme="minorHAnsi" w:hAnsiTheme="minorHAnsi" w:cstheme="minorHAnsi"/>
              </w:rPr>
              <w:t>N/A</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1454E900" w14:textId="53519822" w:rsidR="00085279" w:rsidRPr="001931DC" w:rsidRDefault="00085279" w:rsidP="00085279">
            <w:pPr>
              <w:pStyle w:val="PlainText"/>
              <w:rPr>
                <w:rFonts w:asciiTheme="minorHAnsi" w:hAnsiTheme="minorHAnsi" w:cstheme="minorHAnsi"/>
              </w:rPr>
            </w:pPr>
            <w:r w:rsidRPr="001931DC">
              <w:rPr>
                <w:rFonts w:asciiTheme="minorHAnsi" w:hAnsiTheme="minorHAnsi" w:cstheme="minorHAnsi"/>
              </w:rPr>
              <w:t>Nothing to disclose</w:t>
            </w:r>
          </w:p>
        </w:tc>
      </w:tr>
      <w:tr w:rsidR="00085279" w:rsidRPr="00085279" w14:paraId="05F1591B" w14:textId="77777777" w:rsidTr="001931DC">
        <w:tc>
          <w:tcPr>
            <w:tcW w:w="3865" w:type="dxa"/>
            <w:tcBorders>
              <w:top w:val="single" w:sz="4" w:space="0" w:color="auto"/>
              <w:left w:val="single" w:sz="4" w:space="0" w:color="auto"/>
              <w:bottom w:val="single" w:sz="4" w:space="0" w:color="auto"/>
              <w:right w:val="single" w:sz="4" w:space="0" w:color="auto"/>
            </w:tcBorders>
            <w:shd w:val="clear" w:color="auto" w:fill="auto"/>
          </w:tcPr>
          <w:p w14:paraId="263B6CE2" w14:textId="3A972F16" w:rsidR="001931DC" w:rsidRPr="00085279" w:rsidRDefault="001931DC" w:rsidP="001931DC">
            <w:pPr>
              <w:pStyle w:val="PlainText"/>
              <w:rPr>
                <w:rFonts w:asciiTheme="minorHAnsi" w:hAnsiTheme="minorHAnsi" w:cstheme="minorHAnsi"/>
                <w:b/>
                <w:bCs/>
              </w:rPr>
            </w:pPr>
            <w:r w:rsidRPr="00085279">
              <w:rPr>
                <w:rFonts w:asciiTheme="minorHAnsi" w:hAnsiTheme="minorHAnsi" w:cstheme="minorHAnsi"/>
                <w:b/>
                <w:bCs/>
              </w:rPr>
              <w:t>Eric Chin, MD (faculty)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CCE2EF" w14:textId="768FB7CA" w:rsidR="001931DC" w:rsidRPr="00085279" w:rsidRDefault="00085279" w:rsidP="001931DC">
            <w:pPr>
              <w:pStyle w:val="PlainText"/>
              <w:rPr>
                <w:rFonts w:asciiTheme="minorHAnsi" w:hAnsiTheme="minorHAnsi" w:cstheme="minorHAnsi"/>
              </w:rPr>
            </w:pPr>
            <w:r w:rsidRPr="00085279">
              <w:rPr>
                <w:rFonts w:asciiTheme="minorHAnsi" w:hAnsiTheme="minorHAnsi" w:cstheme="minorHAnsi"/>
              </w:rPr>
              <w:t>Researcher</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F2ABF14" w14:textId="466F05DC" w:rsidR="001931DC" w:rsidRPr="00085279" w:rsidRDefault="00085279" w:rsidP="00085279">
            <w:pPr>
              <w:shd w:val="clear" w:color="auto" w:fill="FFFFFF"/>
              <w:rPr>
                <w:rFonts w:cstheme="minorHAnsi"/>
                <w:sz w:val="20"/>
                <w:szCs w:val="20"/>
              </w:rPr>
            </w:pPr>
            <w:r w:rsidRPr="00085279">
              <w:rPr>
                <w:rFonts w:eastAsia="Times New Roman" w:cstheme="minorHAnsi"/>
                <w:sz w:val="20"/>
                <w:szCs w:val="20"/>
              </w:rPr>
              <w:t>Allergan</w:t>
            </w:r>
            <w:r>
              <w:rPr>
                <w:rFonts w:eastAsia="Times New Roman" w:cstheme="minorHAnsi"/>
                <w:sz w:val="20"/>
                <w:szCs w:val="20"/>
              </w:rPr>
              <w:t>;</w:t>
            </w:r>
            <w:r w:rsidRPr="00085279">
              <w:rPr>
                <w:rFonts w:eastAsia="Times New Roman" w:cstheme="minorHAnsi"/>
                <w:sz w:val="20"/>
                <w:szCs w:val="20"/>
              </w:rPr>
              <w:t xml:space="preserve"> </w:t>
            </w:r>
            <w:proofErr w:type="spellStart"/>
            <w:r w:rsidR="00F66580" w:rsidRPr="00085279">
              <w:rPr>
                <w:rFonts w:eastAsia="Times New Roman" w:cstheme="minorHAnsi"/>
                <w:sz w:val="20"/>
                <w:szCs w:val="20"/>
              </w:rPr>
              <w:t>Chendgu</w:t>
            </w:r>
            <w:proofErr w:type="spellEnd"/>
            <w:r w:rsidR="00F66580" w:rsidRPr="00085279">
              <w:rPr>
                <w:rFonts w:eastAsia="Times New Roman" w:cstheme="minorHAnsi"/>
                <w:sz w:val="20"/>
                <w:szCs w:val="20"/>
              </w:rPr>
              <w:t xml:space="preserve"> </w:t>
            </w:r>
            <w:proofErr w:type="spellStart"/>
            <w:r w:rsidR="00F66580" w:rsidRPr="00085279">
              <w:rPr>
                <w:rFonts w:eastAsia="Times New Roman" w:cstheme="minorHAnsi"/>
                <w:sz w:val="20"/>
                <w:szCs w:val="20"/>
              </w:rPr>
              <w:t>Kanghong</w:t>
            </w:r>
            <w:proofErr w:type="spellEnd"/>
            <w:r w:rsidR="00F66580" w:rsidRPr="00085279">
              <w:rPr>
                <w:rFonts w:eastAsia="Times New Roman" w:cstheme="minorHAnsi"/>
                <w:sz w:val="20"/>
                <w:szCs w:val="20"/>
              </w:rPr>
              <w:t xml:space="preserve"> Biotechnology</w:t>
            </w:r>
            <w:r w:rsidR="00F66580">
              <w:rPr>
                <w:rFonts w:eastAsia="Times New Roman" w:cstheme="minorHAnsi"/>
                <w:sz w:val="20"/>
                <w:szCs w:val="20"/>
              </w:rPr>
              <w:t xml:space="preserve">; </w:t>
            </w:r>
            <w:r w:rsidRPr="00085279">
              <w:rPr>
                <w:rFonts w:eastAsia="Times New Roman" w:cstheme="minorHAnsi"/>
                <w:sz w:val="20"/>
                <w:szCs w:val="20"/>
              </w:rPr>
              <w:t xml:space="preserve">Citrus </w:t>
            </w:r>
            <w:r w:rsidR="00F66580" w:rsidRPr="00085279">
              <w:rPr>
                <w:rFonts w:eastAsia="Times New Roman" w:cstheme="minorHAnsi"/>
                <w:sz w:val="20"/>
                <w:szCs w:val="20"/>
              </w:rPr>
              <w:t>Therapeutics</w:t>
            </w:r>
            <w:r w:rsidR="00F66580">
              <w:rPr>
                <w:rFonts w:eastAsia="Times New Roman" w:cstheme="minorHAnsi"/>
                <w:sz w:val="20"/>
                <w:szCs w:val="20"/>
              </w:rPr>
              <w:t>;</w:t>
            </w:r>
            <w:r>
              <w:rPr>
                <w:rFonts w:eastAsia="Times New Roman" w:cstheme="minorHAnsi"/>
                <w:sz w:val="20"/>
                <w:szCs w:val="20"/>
              </w:rPr>
              <w:t xml:space="preserve"> </w:t>
            </w:r>
            <w:r w:rsidRPr="00085279">
              <w:rPr>
                <w:rFonts w:eastAsia="Times New Roman" w:cstheme="minorHAnsi"/>
                <w:sz w:val="20"/>
                <w:szCs w:val="20"/>
              </w:rPr>
              <w:t>Genentech</w:t>
            </w:r>
            <w:r>
              <w:rPr>
                <w:rFonts w:eastAsia="Times New Roman" w:cstheme="minorHAnsi"/>
                <w:sz w:val="20"/>
                <w:szCs w:val="20"/>
              </w:rPr>
              <w:t>;</w:t>
            </w:r>
            <w:r w:rsidRPr="00085279">
              <w:rPr>
                <w:rFonts w:eastAsia="Times New Roman" w:cstheme="minorHAnsi"/>
                <w:sz w:val="20"/>
                <w:szCs w:val="20"/>
              </w:rPr>
              <w:t xml:space="preserve"> IVERIC Bio</w:t>
            </w:r>
            <w:r>
              <w:rPr>
                <w:rFonts w:eastAsia="Times New Roman" w:cstheme="minorHAnsi"/>
                <w:sz w:val="20"/>
                <w:szCs w:val="20"/>
              </w:rPr>
              <w:t xml:space="preserve">; </w:t>
            </w:r>
            <w:r w:rsidRPr="00085279">
              <w:rPr>
                <w:rFonts w:eastAsia="Times New Roman" w:cstheme="minorHAnsi"/>
                <w:sz w:val="20"/>
                <w:szCs w:val="20"/>
              </w:rPr>
              <w:t>Kodiak Sciences</w:t>
            </w:r>
            <w:r>
              <w:rPr>
                <w:rFonts w:eastAsia="Times New Roman" w:cstheme="minorHAnsi"/>
                <w:sz w:val="20"/>
                <w:szCs w:val="20"/>
              </w:rPr>
              <w:t>;</w:t>
            </w:r>
            <w:r w:rsidRPr="00085279">
              <w:rPr>
                <w:rFonts w:eastAsia="Times New Roman" w:cstheme="minorHAnsi"/>
                <w:sz w:val="20"/>
                <w:szCs w:val="20"/>
              </w:rPr>
              <w:t xml:space="preserve"> </w:t>
            </w:r>
            <w:proofErr w:type="spellStart"/>
            <w:r w:rsidRPr="00085279">
              <w:rPr>
                <w:rFonts w:eastAsia="Times New Roman" w:cstheme="minorHAnsi"/>
                <w:sz w:val="20"/>
                <w:szCs w:val="20"/>
              </w:rPr>
              <w:t>Opthea</w:t>
            </w:r>
            <w:proofErr w:type="spellEnd"/>
            <w:r>
              <w:rPr>
                <w:rFonts w:eastAsia="Times New Roman" w:cstheme="minorHAnsi"/>
                <w:sz w:val="20"/>
                <w:szCs w:val="20"/>
              </w:rPr>
              <w:t>;</w:t>
            </w:r>
            <w:r w:rsidRPr="00085279">
              <w:rPr>
                <w:rFonts w:eastAsia="Times New Roman" w:cstheme="minorHAnsi"/>
                <w:sz w:val="20"/>
                <w:szCs w:val="20"/>
              </w:rPr>
              <w:t xml:space="preserve"> Novartis</w:t>
            </w:r>
          </w:p>
        </w:tc>
      </w:tr>
      <w:tr w:rsidR="001931DC" w:rsidRPr="001931DC" w14:paraId="1FA314C7" w14:textId="77777777" w:rsidTr="00F66580">
        <w:tc>
          <w:tcPr>
            <w:tcW w:w="3865" w:type="dxa"/>
            <w:tcBorders>
              <w:top w:val="single" w:sz="4" w:space="0" w:color="auto"/>
              <w:left w:val="single" w:sz="4" w:space="0" w:color="auto"/>
              <w:bottom w:val="nil"/>
              <w:right w:val="single" w:sz="4" w:space="0" w:color="auto"/>
            </w:tcBorders>
            <w:shd w:val="clear" w:color="auto" w:fill="auto"/>
          </w:tcPr>
          <w:p w14:paraId="3EECA232" w14:textId="55F328A6" w:rsidR="001931DC" w:rsidRPr="001931DC" w:rsidRDefault="001931DC" w:rsidP="001931DC">
            <w:pPr>
              <w:pStyle w:val="PlainText"/>
              <w:rPr>
                <w:rFonts w:asciiTheme="minorHAnsi" w:hAnsiTheme="minorHAnsi" w:cstheme="minorHAnsi"/>
                <w:b/>
                <w:bCs/>
              </w:rPr>
            </w:pPr>
            <w:r w:rsidRPr="001931DC">
              <w:rPr>
                <w:rFonts w:asciiTheme="minorHAnsi" w:hAnsiTheme="minorHAnsi" w:cstheme="minorHAnsi"/>
                <w:b/>
                <w:bCs/>
              </w:rPr>
              <w:t>Constance Okeke, MD, MSCE</w:t>
            </w:r>
            <w:r>
              <w:rPr>
                <w:rFonts w:asciiTheme="minorHAnsi" w:hAnsiTheme="minorHAnsi" w:cstheme="minorHAnsi"/>
                <w:b/>
                <w:bCs/>
              </w:rPr>
              <w:t xml:space="preserve"> (faculty)</w:t>
            </w:r>
          </w:p>
        </w:tc>
        <w:tc>
          <w:tcPr>
            <w:tcW w:w="1980" w:type="dxa"/>
            <w:tcBorders>
              <w:top w:val="single" w:sz="4" w:space="0" w:color="auto"/>
              <w:left w:val="single" w:sz="4" w:space="0" w:color="auto"/>
              <w:bottom w:val="dashed" w:sz="4" w:space="0" w:color="000000" w:themeColor="text1"/>
              <w:right w:val="single" w:sz="4" w:space="0" w:color="auto"/>
            </w:tcBorders>
            <w:shd w:val="clear" w:color="auto" w:fill="auto"/>
          </w:tcPr>
          <w:p w14:paraId="17173B86" w14:textId="637828D6" w:rsidR="001931DC" w:rsidRPr="001931DC" w:rsidRDefault="00F66580" w:rsidP="001931DC">
            <w:pPr>
              <w:pStyle w:val="PlainText"/>
              <w:rPr>
                <w:rFonts w:asciiTheme="minorHAnsi" w:hAnsiTheme="minorHAnsi" w:cstheme="minorHAnsi"/>
              </w:rPr>
            </w:pPr>
            <w:r>
              <w:rPr>
                <w:rFonts w:asciiTheme="minorHAnsi" w:hAnsiTheme="minorHAnsi" w:cstheme="minorHAnsi"/>
              </w:rPr>
              <w:t>Consultant</w:t>
            </w:r>
          </w:p>
        </w:tc>
        <w:tc>
          <w:tcPr>
            <w:tcW w:w="4675" w:type="dxa"/>
            <w:tcBorders>
              <w:top w:val="single" w:sz="4" w:space="0" w:color="auto"/>
              <w:left w:val="single" w:sz="4" w:space="0" w:color="auto"/>
              <w:bottom w:val="dashed" w:sz="4" w:space="0" w:color="000000" w:themeColor="text1"/>
              <w:right w:val="single" w:sz="4" w:space="0" w:color="auto"/>
            </w:tcBorders>
            <w:shd w:val="clear" w:color="auto" w:fill="auto"/>
          </w:tcPr>
          <w:p w14:paraId="7153319C" w14:textId="4FC1D856" w:rsidR="001931DC" w:rsidRPr="001931DC" w:rsidRDefault="00F66580" w:rsidP="001931DC">
            <w:pPr>
              <w:pStyle w:val="PlainText"/>
              <w:rPr>
                <w:rFonts w:asciiTheme="minorHAnsi" w:hAnsiTheme="minorHAnsi" w:cstheme="minorHAnsi"/>
              </w:rPr>
            </w:pPr>
            <w:r w:rsidRPr="00F66580">
              <w:rPr>
                <w:rFonts w:asciiTheme="minorHAnsi" w:hAnsiTheme="minorHAnsi" w:cstheme="minorHAnsi"/>
              </w:rPr>
              <w:t xml:space="preserve">Aerie; </w:t>
            </w:r>
            <w:proofErr w:type="spellStart"/>
            <w:r w:rsidRPr="00F66580">
              <w:rPr>
                <w:rFonts w:asciiTheme="minorHAnsi" w:hAnsiTheme="minorHAnsi" w:cstheme="minorHAnsi"/>
              </w:rPr>
              <w:t>Akorn</w:t>
            </w:r>
            <w:proofErr w:type="spellEnd"/>
            <w:r w:rsidRPr="00F66580">
              <w:rPr>
                <w:rFonts w:asciiTheme="minorHAnsi" w:hAnsiTheme="minorHAnsi" w:cstheme="minorHAnsi"/>
              </w:rPr>
              <w:t xml:space="preserve">; Alcon; ALLERGAN; B+L; </w:t>
            </w:r>
            <w:proofErr w:type="spellStart"/>
            <w:r w:rsidRPr="00F66580">
              <w:rPr>
                <w:rFonts w:asciiTheme="minorHAnsi" w:hAnsiTheme="minorHAnsi" w:cstheme="minorHAnsi"/>
              </w:rPr>
              <w:t>Eyenovia</w:t>
            </w:r>
            <w:proofErr w:type="spellEnd"/>
            <w:r w:rsidRPr="00F66580">
              <w:rPr>
                <w:rFonts w:asciiTheme="minorHAnsi" w:hAnsiTheme="minorHAnsi" w:cstheme="minorHAnsi"/>
              </w:rPr>
              <w:t xml:space="preserve">; Nova Eye; </w:t>
            </w:r>
            <w:proofErr w:type="spellStart"/>
            <w:r w:rsidRPr="00F66580">
              <w:rPr>
                <w:rFonts w:asciiTheme="minorHAnsi" w:hAnsiTheme="minorHAnsi" w:cstheme="minorHAnsi"/>
              </w:rPr>
              <w:t>Glaukos</w:t>
            </w:r>
            <w:proofErr w:type="spellEnd"/>
            <w:r w:rsidRPr="00F66580">
              <w:rPr>
                <w:rFonts w:asciiTheme="minorHAnsi" w:hAnsiTheme="minorHAnsi" w:cstheme="minorHAnsi"/>
              </w:rPr>
              <w:t xml:space="preserve">; </w:t>
            </w:r>
            <w:proofErr w:type="spellStart"/>
            <w:r w:rsidRPr="00F66580">
              <w:rPr>
                <w:rFonts w:asciiTheme="minorHAnsi" w:hAnsiTheme="minorHAnsi" w:cstheme="minorHAnsi"/>
              </w:rPr>
              <w:t>Ivantis</w:t>
            </w:r>
            <w:proofErr w:type="spellEnd"/>
            <w:r w:rsidRPr="00F66580">
              <w:rPr>
                <w:rFonts w:asciiTheme="minorHAnsi" w:hAnsiTheme="minorHAnsi" w:cstheme="minorHAnsi"/>
              </w:rPr>
              <w:t xml:space="preserve">; </w:t>
            </w:r>
            <w:proofErr w:type="spellStart"/>
            <w:r w:rsidRPr="00F66580">
              <w:rPr>
                <w:rFonts w:asciiTheme="minorHAnsi" w:hAnsiTheme="minorHAnsi" w:cstheme="minorHAnsi"/>
              </w:rPr>
              <w:t>Mediprint</w:t>
            </w:r>
            <w:proofErr w:type="spellEnd"/>
            <w:r w:rsidRPr="00F66580">
              <w:rPr>
                <w:rFonts w:asciiTheme="minorHAnsi" w:hAnsiTheme="minorHAnsi" w:cstheme="minorHAnsi"/>
              </w:rPr>
              <w:t xml:space="preserve">; MST; Novartis; Reichert; Santen; Sight Sciences; Sun Pharmaceuticals; Thea; </w:t>
            </w:r>
            <w:proofErr w:type="spellStart"/>
            <w:r w:rsidRPr="00F66580">
              <w:rPr>
                <w:rFonts w:asciiTheme="minorHAnsi" w:hAnsiTheme="minorHAnsi" w:cstheme="minorHAnsi"/>
              </w:rPr>
              <w:t>Visionology</w:t>
            </w:r>
            <w:proofErr w:type="spellEnd"/>
            <w:r w:rsidRPr="00F66580">
              <w:rPr>
                <w:rFonts w:asciiTheme="minorHAnsi" w:hAnsiTheme="minorHAnsi" w:cstheme="minorHAnsi"/>
              </w:rPr>
              <w:t xml:space="preserve">; </w:t>
            </w:r>
            <w:proofErr w:type="spellStart"/>
            <w:r w:rsidRPr="00F66580">
              <w:rPr>
                <w:rFonts w:asciiTheme="minorHAnsi" w:hAnsiTheme="minorHAnsi" w:cstheme="minorHAnsi"/>
              </w:rPr>
              <w:t>Visus</w:t>
            </w:r>
            <w:proofErr w:type="spellEnd"/>
            <w:r w:rsidRPr="00F66580">
              <w:rPr>
                <w:rFonts w:asciiTheme="minorHAnsi" w:hAnsiTheme="minorHAnsi" w:cstheme="minorHAnsi"/>
              </w:rPr>
              <w:t xml:space="preserve"> Therapeutics</w:t>
            </w:r>
          </w:p>
        </w:tc>
      </w:tr>
      <w:tr w:rsidR="00F66580" w:rsidRPr="001931DC" w14:paraId="2BA9CBD0" w14:textId="77777777" w:rsidTr="00F66580">
        <w:tc>
          <w:tcPr>
            <w:tcW w:w="3865" w:type="dxa"/>
            <w:tcBorders>
              <w:top w:val="nil"/>
              <w:left w:val="single" w:sz="4" w:space="0" w:color="auto"/>
              <w:bottom w:val="nil"/>
              <w:right w:val="single" w:sz="4" w:space="0" w:color="auto"/>
            </w:tcBorders>
            <w:shd w:val="clear" w:color="auto" w:fill="auto"/>
          </w:tcPr>
          <w:p w14:paraId="722E1095" w14:textId="77777777" w:rsidR="00F66580" w:rsidRPr="001931DC" w:rsidRDefault="00F66580" w:rsidP="001931DC">
            <w:pPr>
              <w:pStyle w:val="PlainText"/>
              <w:rPr>
                <w:rFonts w:asciiTheme="minorHAnsi" w:hAnsiTheme="minorHAnsi" w:cstheme="minorHAnsi"/>
                <w:b/>
                <w:bCs/>
              </w:rPr>
            </w:pPr>
          </w:p>
        </w:tc>
        <w:tc>
          <w:tcPr>
            <w:tcW w:w="1980" w:type="dxa"/>
            <w:tcBorders>
              <w:top w:val="dashed" w:sz="4" w:space="0" w:color="000000" w:themeColor="text1"/>
              <w:left w:val="single" w:sz="4" w:space="0" w:color="auto"/>
              <w:bottom w:val="dashed" w:sz="4" w:space="0" w:color="000000" w:themeColor="text1"/>
              <w:right w:val="single" w:sz="4" w:space="0" w:color="auto"/>
            </w:tcBorders>
            <w:shd w:val="clear" w:color="auto" w:fill="auto"/>
          </w:tcPr>
          <w:p w14:paraId="6C3F2A53" w14:textId="1EDA5635" w:rsidR="00F66580" w:rsidRPr="001931DC" w:rsidRDefault="00F66580" w:rsidP="001931DC">
            <w:pPr>
              <w:pStyle w:val="PlainText"/>
              <w:rPr>
                <w:rFonts w:asciiTheme="minorHAnsi" w:hAnsiTheme="minorHAnsi" w:cstheme="minorHAnsi"/>
              </w:rPr>
            </w:pPr>
            <w:r>
              <w:rPr>
                <w:rFonts w:asciiTheme="minorHAnsi" w:hAnsiTheme="minorHAnsi" w:cstheme="minorHAnsi"/>
              </w:rPr>
              <w:t>Contracted Research</w:t>
            </w:r>
          </w:p>
        </w:tc>
        <w:tc>
          <w:tcPr>
            <w:tcW w:w="4675" w:type="dxa"/>
            <w:tcBorders>
              <w:top w:val="dashed" w:sz="4" w:space="0" w:color="000000" w:themeColor="text1"/>
              <w:left w:val="single" w:sz="4" w:space="0" w:color="auto"/>
              <w:bottom w:val="dashed" w:sz="4" w:space="0" w:color="000000" w:themeColor="text1"/>
              <w:right w:val="single" w:sz="4" w:space="0" w:color="auto"/>
            </w:tcBorders>
            <w:shd w:val="clear" w:color="auto" w:fill="auto"/>
          </w:tcPr>
          <w:p w14:paraId="4E479847" w14:textId="0F666E6E" w:rsidR="00F66580" w:rsidRPr="001931DC" w:rsidRDefault="00F66580" w:rsidP="001931DC">
            <w:pPr>
              <w:pStyle w:val="PlainText"/>
              <w:rPr>
                <w:rFonts w:asciiTheme="minorHAnsi" w:hAnsiTheme="minorHAnsi" w:cstheme="minorHAnsi"/>
              </w:rPr>
            </w:pPr>
            <w:r w:rsidRPr="00F66580">
              <w:rPr>
                <w:rFonts w:asciiTheme="minorHAnsi" w:hAnsiTheme="minorHAnsi" w:cstheme="minorHAnsi"/>
              </w:rPr>
              <w:t xml:space="preserve">B+L; </w:t>
            </w:r>
            <w:proofErr w:type="spellStart"/>
            <w:r w:rsidRPr="00F66580">
              <w:rPr>
                <w:rFonts w:asciiTheme="minorHAnsi" w:hAnsiTheme="minorHAnsi" w:cstheme="minorHAnsi"/>
              </w:rPr>
              <w:t>Glaukos</w:t>
            </w:r>
            <w:proofErr w:type="spellEnd"/>
            <w:r w:rsidRPr="00F66580">
              <w:rPr>
                <w:rFonts w:asciiTheme="minorHAnsi" w:hAnsiTheme="minorHAnsi" w:cstheme="minorHAnsi"/>
              </w:rPr>
              <w:t xml:space="preserve">; </w:t>
            </w:r>
            <w:proofErr w:type="spellStart"/>
            <w:r w:rsidRPr="00F66580">
              <w:rPr>
                <w:rFonts w:asciiTheme="minorHAnsi" w:hAnsiTheme="minorHAnsi" w:cstheme="minorHAnsi"/>
              </w:rPr>
              <w:t>Nicox</w:t>
            </w:r>
            <w:proofErr w:type="spellEnd"/>
            <w:r w:rsidRPr="00F66580">
              <w:rPr>
                <w:rFonts w:asciiTheme="minorHAnsi" w:hAnsiTheme="minorHAnsi" w:cstheme="minorHAnsi"/>
              </w:rPr>
              <w:t>; Nova Eye</w:t>
            </w:r>
          </w:p>
        </w:tc>
      </w:tr>
      <w:tr w:rsidR="00F66580" w:rsidRPr="001931DC" w14:paraId="2047846E" w14:textId="77777777" w:rsidTr="00F66580">
        <w:tc>
          <w:tcPr>
            <w:tcW w:w="3865" w:type="dxa"/>
            <w:tcBorders>
              <w:top w:val="nil"/>
              <w:left w:val="single" w:sz="4" w:space="0" w:color="auto"/>
              <w:bottom w:val="nil"/>
              <w:right w:val="single" w:sz="4" w:space="0" w:color="auto"/>
            </w:tcBorders>
            <w:shd w:val="clear" w:color="auto" w:fill="auto"/>
          </w:tcPr>
          <w:p w14:paraId="1201C9BA" w14:textId="77777777" w:rsidR="00F66580" w:rsidRPr="001931DC" w:rsidRDefault="00F66580" w:rsidP="001931DC">
            <w:pPr>
              <w:pStyle w:val="PlainText"/>
              <w:rPr>
                <w:rFonts w:asciiTheme="minorHAnsi" w:hAnsiTheme="minorHAnsi" w:cstheme="minorHAnsi"/>
                <w:b/>
                <w:bCs/>
              </w:rPr>
            </w:pPr>
          </w:p>
        </w:tc>
        <w:tc>
          <w:tcPr>
            <w:tcW w:w="1980" w:type="dxa"/>
            <w:tcBorders>
              <w:top w:val="dashed" w:sz="4" w:space="0" w:color="000000" w:themeColor="text1"/>
              <w:left w:val="single" w:sz="4" w:space="0" w:color="auto"/>
              <w:bottom w:val="dashed" w:sz="4" w:space="0" w:color="000000" w:themeColor="text1"/>
              <w:right w:val="single" w:sz="4" w:space="0" w:color="auto"/>
            </w:tcBorders>
            <w:shd w:val="clear" w:color="auto" w:fill="auto"/>
          </w:tcPr>
          <w:p w14:paraId="69A4A708" w14:textId="22C4B44C" w:rsidR="00F66580" w:rsidRPr="001931DC" w:rsidRDefault="00F66580" w:rsidP="001931DC">
            <w:pPr>
              <w:pStyle w:val="PlainText"/>
              <w:rPr>
                <w:rFonts w:asciiTheme="minorHAnsi" w:hAnsiTheme="minorHAnsi" w:cstheme="minorHAnsi"/>
              </w:rPr>
            </w:pPr>
            <w:r>
              <w:rPr>
                <w:rFonts w:asciiTheme="minorHAnsi" w:hAnsiTheme="minorHAnsi" w:cstheme="minorHAnsi"/>
              </w:rPr>
              <w:t>Royalty</w:t>
            </w:r>
          </w:p>
        </w:tc>
        <w:tc>
          <w:tcPr>
            <w:tcW w:w="4675" w:type="dxa"/>
            <w:tcBorders>
              <w:top w:val="dashed" w:sz="4" w:space="0" w:color="000000" w:themeColor="text1"/>
              <w:left w:val="single" w:sz="4" w:space="0" w:color="auto"/>
              <w:bottom w:val="dashed" w:sz="4" w:space="0" w:color="000000" w:themeColor="text1"/>
              <w:right w:val="single" w:sz="4" w:space="0" w:color="auto"/>
            </w:tcBorders>
            <w:shd w:val="clear" w:color="auto" w:fill="auto"/>
          </w:tcPr>
          <w:p w14:paraId="6CA8BC2A" w14:textId="6190EC36" w:rsidR="00F66580" w:rsidRPr="00586060" w:rsidRDefault="00F66580" w:rsidP="001931DC">
            <w:pPr>
              <w:pStyle w:val="PlainText"/>
              <w:rPr>
                <w:rFonts w:asciiTheme="minorHAnsi" w:hAnsiTheme="minorHAnsi" w:cstheme="minorHAnsi"/>
              </w:rPr>
            </w:pPr>
            <w:r w:rsidRPr="00586060">
              <w:rPr>
                <w:rFonts w:asciiTheme="minorHAnsi" w:hAnsiTheme="minorHAnsi" w:cstheme="minorHAnsi"/>
                <w:shd w:val="clear" w:color="auto" w:fill="FFFFFF"/>
              </w:rPr>
              <w:t>Kugler Publications</w:t>
            </w:r>
          </w:p>
        </w:tc>
      </w:tr>
      <w:tr w:rsidR="00F66580" w:rsidRPr="001931DC" w14:paraId="4A7670B3" w14:textId="77777777" w:rsidTr="00F66580">
        <w:tc>
          <w:tcPr>
            <w:tcW w:w="3865" w:type="dxa"/>
            <w:tcBorders>
              <w:top w:val="nil"/>
              <w:left w:val="single" w:sz="4" w:space="0" w:color="auto"/>
              <w:bottom w:val="single" w:sz="4" w:space="0" w:color="auto"/>
              <w:right w:val="single" w:sz="4" w:space="0" w:color="auto"/>
            </w:tcBorders>
            <w:shd w:val="clear" w:color="auto" w:fill="auto"/>
          </w:tcPr>
          <w:p w14:paraId="71BA58B7" w14:textId="77777777" w:rsidR="00F66580" w:rsidRPr="001931DC" w:rsidRDefault="00F66580" w:rsidP="001931DC">
            <w:pPr>
              <w:pStyle w:val="PlainText"/>
              <w:rPr>
                <w:rFonts w:asciiTheme="minorHAnsi" w:hAnsiTheme="minorHAnsi" w:cstheme="minorHAnsi"/>
                <w:b/>
                <w:bCs/>
              </w:rPr>
            </w:pPr>
          </w:p>
        </w:tc>
        <w:tc>
          <w:tcPr>
            <w:tcW w:w="1980" w:type="dxa"/>
            <w:tcBorders>
              <w:top w:val="dashed" w:sz="4" w:space="0" w:color="000000" w:themeColor="text1"/>
              <w:left w:val="single" w:sz="4" w:space="0" w:color="auto"/>
              <w:bottom w:val="single" w:sz="4" w:space="0" w:color="auto"/>
              <w:right w:val="single" w:sz="4" w:space="0" w:color="auto"/>
            </w:tcBorders>
            <w:shd w:val="clear" w:color="auto" w:fill="auto"/>
          </w:tcPr>
          <w:p w14:paraId="14EA51CE" w14:textId="20C8E21F" w:rsidR="00F66580" w:rsidRPr="001931DC" w:rsidRDefault="00F66580" w:rsidP="001931DC">
            <w:pPr>
              <w:pStyle w:val="PlainText"/>
              <w:rPr>
                <w:rFonts w:asciiTheme="minorHAnsi" w:hAnsiTheme="minorHAnsi" w:cstheme="minorHAnsi"/>
              </w:rPr>
            </w:pPr>
            <w:r>
              <w:rPr>
                <w:rFonts w:asciiTheme="minorHAnsi" w:hAnsiTheme="minorHAnsi" w:cstheme="minorHAnsi"/>
              </w:rPr>
              <w:t>Speakers Bureau</w:t>
            </w:r>
          </w:p>
        </w:tc>
        <w:tc>
          <w:tcPr>
            <w:tcW w:w="4675" w:type="dxa"/>
            <w:tcBorders>
              <w:top w:val="dashed" w:sz="4" w:space="0" w:color="000000" w:themeColor="text1"/>
              <w:left w:val="single" w:sz="4" w:space="0" w:color="auto"/>
              <w:bottom w:val="single" w:sz="4" w:space="0" w:color="auto"/>
              <w:right w:val="single" w:sz="4" w:space="0" w:color="auto"/>
            </w:tcBorders>
            <w:shd w:val="clear" w:color="auto" w:fill="auto"/>
          </w:tcPr>
          <w:p w14:paraId="7C50FFE8" w14:textId="415143E9" w:rsidR="00F66580" w:rsidRPr="001931DC" w:rsidRDefault="00F66580" w:rsidP="001931DC">
            <w:pPr>
              <w:pStyle w:val="PlainText"/>
              <w:rPr>
                <w:rFonts w:asciiTheme="minorHAnsi" w:hAnsiTheme="minorHAnsi" w:cstheme="minorHAnsi"/>
              </w:rPr>
            </w:pPr>
            <w:r w:rsidRPr="00F66580">
              <w:rPr>
                <w:rFonts w:asciiTheme="minorHAnsi" w:hAnsiTheme="minorHAnsi" w:cstheme="minorHAnsi"/>
              </w:rPr>
              <w:t xml:space="preserve">Aerie; </w:t>
            </w:r>
            <w:proofErr w:type="spellStart"/>
            <w:r w:rsidRPr="00F66580">
              <w:rPr>
                <w:rFonts w:asciiTheme="minorHAnsi" w:hAnsiTheme="minorHAnsi" w:cstheme="minorHAnsi"/>
              </w:rPr>
              <w:t>Akorn</w:t>
            </w:r>
            <w:proofErr w:type="spellEnd"/>
            <w:r w:rsidRPr="00F66580">
              <w:rPr>
                <w:rFonts w:asciiTheme="minorHAnsi" w:hAnsiTheme="minorHAnsi" w:cstheme="minorHAnsi"/>
              </w:rPr>
              <w:t xml:space="preserve">; Alcon; ALLERGAN; B+L; Nova Eye; </w:t>
            </w:r>
            <w:proofErr w:type="spellStart"/>
            <w:r w:rsidRPr="00F66580">
              <w:rPr>
                <w:rFonts w:asciiTheme="minorHAnsi" w:hAnsiTheme="minorHAnsi" w:cstheme="minorHAnsi"/>
              </w:rPr>
              <w:t>Glaukos</w:t>
            </w:r>
            <w:proofErr w:type="spellEnd"/>
            <w:r w:rsidRPr="00F66580">
              <w:rPr>
                <w:rFonts w:asciiTheme="minorHAnsi" w:hAnsiTheme="minorHAnsi" w:cstheme="minorHAnsi"/>
              </w:rPr>
              <w:t>; MST; Sight Sciences; Sun Pharmaceuticals</w:t>
            </w:r>
          </w:p>
        </w:tc>
      </w:tr>
      <w:tr w:rsidR="00F66580" w:rsidRPr="001931DC" w14:paraId="7E416055" w14:textId="77777777" w:rsidTr="001931DC">
        <w:tc>
          <w:tcPr>
            <w:tcW w:w="3865" w:type="dxa"/>
            <w:tcBorders>
              <w:top w:val="single" w:sz="4" w:space="0" w:color="auto"/>
              <w:left w:val="single" w:sz="4" w:space="0" w:color="auto"/>
              <w:bottom w:val="single" w:sz="4" w:space="0" w:color="auto"/>
              <w:right w:val="single" w:sz="4" w:space="0" w:color="auto"/>
            </w:tcBorders>
            <w:shd w:val="clear" w:color="auto" w:fill="auto"/>
          </w:tcPr>
          <w:p w14:paraId="592C3791" w14:textId="0542714E" w:rsidR="00F66580" w:rsidRPr="001931DC" w:rsidRDefault="00F66580" w:rsidP="00F66580">
            <w:pPr>
              <w:pStyle w:val="PlainText"/>
              <w:rPr>
                <w:rFonts w:asciiTheme="minorHAnsi" w:hAnsiTheme="minorHAnsi" w:cstheme="minorHAnsi"/>
                <w:b/>
                <w:bCs/>
              </w:rPr>
            </w:pPr>
            <w:proofErr w:type="spellStart"/>
            <w:r w:rsidRPr="001931DC">
              <w:rPr>
                <w:rFonts w:asciiTheme="minorHAnsi" w:hAnsiTheme="minorHAnsi" w:cstheme="minorHAnsi"/>
                <w:b/>
                <w:bCs/>
              </w:rPr>
              <w:t>Nimesh</w:t>
            </w:r>
            <w:proofErr w:type="spellEnd"/>
            <w:r w:rsidRPr="001931DC">
              <w:rPr>
                <w:rFonts w:asciiTheme="minorHAnsi" w:hAnsiTheme="minorHAnsi" w:cstheme="minorHAnsi"/>
                <w:b/>
                <w:bCs/>
              </w:rPr>
              <w:t xml:space="preserve"> A. Patel, MD</w:t>
            </w:r>
            <w:r>
              <w:rPr>
                <w:rFonts w:asciiTheme="minorHAnsi" w:hAnsiTheme="minorHAnsi" w:cstheme="minorHAnsi"/>
                <w:b/>
                <w:bCs/>
              </w:rPr>
              <w:t xml:space="preserve"> (faculty)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5C9F67" w14:textId="6B17EA3E" w:rsidR="00F66580" w:rsidRPr="001931DC" w:rsidRDefault="00F66580" w:rsidP="00F66580">
            <w:pPr>
              <w:pStyle w:val="PlainText"/>
              <w:rPr>
                <w:rFonts w:asciiTheme="minorHAnsi" w:hAnsiTheme="minorHAnsi" w:cstheme="minorHAnsi"/>
              </w:rPr>
            </w:pPr>
            <w:r w:rsidRPr="001931DC">
              <w:rPr>
                <w:rFonts w:asciiTheme="minorHAnsi" w:hAnsiTheme="minorHAnsi" w:cstheme="minorHAnsi"/>
              </w:rPr>
              <w:t>N/A</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4C5BF135" w14:textId="0F823C8B" w:rsidR="00F66580" w:rsidRPr="001931DC" w:rsidRDefault="00F66580" w:rsidP="00F66580">
            <w:pPr>
              <w:pStyle w:val="PlainText"/>
              <w:rPr>
                <w:rFonts w:asciiTheme="minorHAnsi" w:hAnsiTheme="minorHAnsi" w:cstheme="minorHAnsi"/>
              </w:rPr>
            </w:pPr>
            <w:r w:rsidRPr="001931DC">
              <w:rPr>
                <w:rFonts w:asciiTheme="minorHAnsi" w:hAnsiTheme="minorHAnsi" w:cstheme="minorHAnsi"/>
              </w:rPr>
              <w:t>Nothing to disclose</w:t>
            </w:r>
          </w:p>
        </w:tc>
      </w:tr>
      <w:tr w:rsidR="00F66580" w:rsidRPr="001931DC" w14:paraId="0DE4E2F3" w14:textId="77777777" w:rsidTr="001931DC">
        <w:tc>
          <w:tcPr>
            <w:tcW w:w="3865" w:type="dxa"/>
            <w:tcBorders>
              <w:top w:val="single" w:sz="4" w:space="0" w:color="auto"/>
              <w:left w:val="single" w:sz="4" w:space="0" w:color="auto"/>
              <w:bottom w:val="single" w:sz="4" w:space="0" w:color="auto"/>
              <w:right w:val="single" w:sz="4" w:space="0" w:color="auto"/>
            </w:tcBorders>
            <w:shd w:val="clear" w:color="auto" w:fill="auto"/>
          </w:tcPr>
          <w:p w14:paraId="285B0715" w14:textId="4066927C" w:rsidR="00F66580" w:rsidRPr="001931DC" w:rsidRDefault="00F66580" w:rsidP="00F66580">
            <w:pPr>
              <w:pStyle w:val="PlainText"/>
              <w:rPr>
                <w:rFonts w:asciiTheme="minorHAnsi" w:hAnsiTheme="minorHAnsi" w:cstheme="minorHAnsi"/>
                <w:b/>
                <w:bCs/>
              </w:rPr>
            </w:pPr>
            <w:r w:rsidRPr="001931DC">
              <w:rPr>
                <w:rFonts w:asciiTheme="minorHAnsi" w:hAnsiTheme="minorHAnsi" w:cstheme="minorHAnsi"/>
                <w:b/>
                <w:bCs/>
              </w:rPr>
              <w:t>Bradley Sacher, MD</w:t>
            </w:r>
            <w:r>
              <w:rPr>
                <w:rFonts w:asciiTheme="minorHAnsi" w:hAnsiTheme="minorHAnsi" w:cstheme="minorHAnsi"/>
                <w:b/>
                <w:bCs/>
              </w:rPr>
              <w:t xml:space="preserve"> (faculty)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72B7F9A" w14:textId="05CAD4B7" w:rsidR="00F66580" w:rsidRPr="001931DC" w:rsidRDefault="00F66580" w:rsidP="00F66580">
            <w:pPr>
              <w:pStyle w:val="PlainText"/>
              <w:rPr>
                <w:rFonts w:asciiTheme="minorHAnsi" w:hAnsiTheme="minorHAnsi" w:cstheme="minorHAnsi"/>
              </w:rPr>
            </w:pPr>
            <w:r w:rsidRPr="001931DC">
              <w:rPr>
                <w:rFonts w:asciiTheme="minorHAnsi" w:hAnsiTheme="minorHAnsi" w:cstheme="minorHAnsi"/>
              </w:rPr>
              <w:t>N/A</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6ACB2204" w14:textId="514F1784" w:rsidR="00F66580" w:rsidRPr="001931DC" w:rsidRDefault="00F66580" w:rsidP="00F66580">
            <w:pPr>
              <w:pStyle w:val="PlainText"/>
              <w:rPr>
                <w:rFonts w:asciiTheme="minorHAnsi" w:hAnsiTheme="minorHAnsi" w:cstheme="minorHAnsi"/>
              </w:rPr>
            </w:pPr>
            <w:r w:rsidRPr="001931DC">
              <w:rPr>
                <w:rFonts w:asciiTheme="minorHAnsi" w:hAnsiTheme="minorHAnsi" w:cstheme="minorHAnsi"/>
              </w:rPr>
              <w:t>Nothing to disclose</w:t>
            </w:r>
          </w:p>
        </w:tc>
      </w:tr>
      <w:tr w:rsidR="00AC057C" w:rsidRPr="001931DC" w14:paraId="41DA2FCD" w14:textId="77777777" w:rsidTr="001931DC">
        <w:tc>
          <w:tcPr>
            <w:tcW w:w="3865" w:type="dxa"/>
            <w:tcBorders>
              <w:top w:val="single" w:sz="4" w:space="0" w:color="auto"/>
            </w:tcBorders>
          </w:tcPr>
          <w:p w14:paraId="2C2C473A" w14:textId="7896C878" w:rsidR="00AC057C" w:rsidRPr="001931DC" w:rsidRDefault="00AC057C" w:rsidP="00AC057C">
            <w:pPr>
              <w:pStyle w:val="PlainText"/>
              <w:rPr>
                <w:rFonts w:asciiTheme="minorHAnsi" w:hAnsiTheme="minorHAnsi" w:cstheme="minorHAnsi"/>
                <w:b/>
                <w:bCs/>
              </w:rPr>
            </w:pPr>
            <w:r w:rsidRPr="001931DC">
              <w:rPr>
                <w:rFonts w:asciiTheme="minorHAnsi" w:hAnsiTheme="minorHAnsi" w:cstheme="minorHAnsi"/>
                <w:b/>
                <w:bCs/>
              </w:rPr>
              <w:t>Dorothy Caputo, MA, BSN, RN, CE Director of Accreditations/Lead Nurse Planner</w:t>
            </w:r>
          </w:p>
        </w:tc>
        <w:tc>
          <w:tcPr>
            <w:tcW w:w="1980" w:type="dxa"/>
            <w:tcBorders>
              <w:top w:val="single" w:sz="4" w:space="0" w:color="auto"/>
            </w:tcBorders>
          </w:tcPr>
          <w:p w14:paraId="39B53923" w14:textId="0466FB15" w:rsidR="00AC057C" w:rsidRPr="001931DC" w:rsidRDefault="00AC057C" w:rsidP="00AC057C">
            <w:pPr>
              <w:pStyle w:val="PlainText"/>
              <w:rPr>
                <w:rFonts w:asciiTheme="minorHAnsi" w:hAnsiTheme="minorHAnsi" w:cstheme="minorHAnsi"/>
              </w:rPr>
            </w:pPr>
            <w:r w:rsidRPr="001931DC">
              <w:rPr>
                <w:rFonts w:asciiTheme="minorHAnsi" w:hAnsiTheme="minorHAnsi" w:cstheme="minorHAnsi"/>
              </w:rPr>
              <w:t>N/A</w:t>
            </w:r>
          </w:p>
        </w:tc>
        <w:tc>
          <w:tcPr>
            <w:tcW w:w="4675" w:type="dxa"/>
            <w:tcBorders>
              <w:top w:val="single" w:sz="4" w:space="0" w:color="auto"/>
            </w:tcBorders>
          </w:tcPr>
          <w:p w14:paraId="785DCEF9" w14:textId="7DBAF4FF" w:rsidR="00AC057C" w:rsidRPr="001931DC" w:rsidRDefault="00AC057C" w:rsidP="00AC057C">
            <w:pPr>
              <w:pStyle w:val="PlainText"/>
              <w:rPr>
                <w:rFonts w:asciiTheme="minorHAnsi" w:hAnsiTheme="minorHAnsi" w:cstheme="minorHAnsi"/>
              </w:rPr>
            </w:pPr>
            <w:r w:rsidRPr="001931DC">
              <w:rPr>
                <w:rFonts w:asciiTheme="minorHAnsi" w:hAnsiTheme="minorHAnsi" w:cstheme="minorHAnsi"/>
              </w:rPr>
              <w:t>Nothing to disclose</w:t>
            </w:r>
          </w:p>
        </w:tc>
      </w:tr>
      <w:tr w:rsidR="00AC057C" w:rsidRPr="001931DC" w14:paraId="48F0CF23" w14:textId="77777777" w:rsidTr="00235C78">
        <w:tc>
          <w:tcPr>
            <w:tcW w:w="3865" w:type="dxa"/>
          </w:tcPr>
          <w:p w14:paraId="15310420" w14:textId="22DA88AC" w:rsidR="00AC057C" w:rsidRPr="001931DC" w:rsidRDefault="00AC057C" w:rsidP="00AC057C">
            <w:pPr>
              <w:pStyle w:val="PlainText"/>
              <w:rPr>
                <w:rFonts w:asciiTheme="minorHAnsi" w:hAnsiTheme="minorHAnsi" w:cstheme="minorHAnsi"/>
                <w:b/>
                <w:bCs/>
              </w:rPr>
            </w:pPr>
            <w:r w:rsidRPr="001931DC">
              <w:rPr>
                <w:rFonts w:asciiTheme="minorHAnsi" w:hAnsiTheme="minorHAnsi" w:cstheme="minorHAnsi"/>
                <w:b/>
                <w:bCs/>
              </w:rPr>
              <w:t>AKH Inc. Staff and Planners</w:t>
            </w:r>
          </w:p>
        </w:tc>
        <w:tc>
          <w:tcPr>
            <w:tcW w:w="1980" w:type="dxa"/>
          </w:tcPr>
          <w:p w14:paraId="1477FABF" w14:textId="0855C676" w:rsidR="00AC057C" w:rsidRPr="001931DC" w:rsidRDefault="00AC057C" w:rsidP="00AC057C">
            <w:pPr>
              <w:pStyle w:val="PlainText"/>
              <w:rPr>
                <w:rFonts w:asciiTheme="minorHAnsi" w:hAnsiTheme="minorHAnsi" w:cstheme="minorHAnsi"/>
              </w:rPr>
            </w:pPr>
            <w:r w:rsidRPr="001931DC">
              <w:rPr>
                <w:rFonts w:asciiTheme="minorHAnsi" w:hAnsiTheme="minorHAnsi" w:cstheme="minorHAnsi"/>
              </w:rPr>
              <w:t>N/A</w:t>
            </w:r>
          </w:p>
        </w:tc>
        <w:tc>
          <w:tcPr>
            <w:tcW w:w="4675" w:type="dxa"/>
          </w:tcPr>
          <w:p w14:paraId="59DB30ED" w14:textId="5DAB5F07" w:rsidR="00AC057C" w:rsidRPr="001931DC" w:rsidRDefault="00AC057C" w:rsidP="00AC057C">
            <w:pPr>
              <w:pStyle w:val="PlainText"/>
              <w:rPr>
                <w:rFonts w:asciiTheme="minorHAnsi" w:hAnsiTheme="minorHAnsi" w:cstheme="minorHAnsi"/>
              </w:rPr>
            </w:pPr>
            <w:r w:rsidRPr="001931DC">
              <w:rPr>
                <w:rFonts w:asciiTheme="minorHAnsi" w:hAnsiTheme="minorHAnsi" w:cstheme="minorHAnsi"/>
              </w:rPr>
              <w:t>Nothing to disclose</w:t>
            </w:r>
          </w:p>
        </w:tc>
      </w:tr>
      <w:tr w:rsidR="00AC057C" w:rsidRPr="001931DC" w14:paraId="2FD5758A" w14:textId="77777777" w:rsidTr="00235C78">
        <w:tc>
          <w:tcPr>
            <w:tcW w:w="3865" w:type="dxa"/>
          </w:tcPr>
          <w:p w14:paraId="59473FCA" w14:textId="34C5C9C6" w:rsidR="00AC057C" w:rsidRPr="001931DC" w:rsidRDefault="00AC057C" w:rsidP="00AC057C">
            <w:pPr>
              <w:pStyle w:val="PlainText"/>
              <w:rPr>
                <w:rFonts w:asciiTheme="minorHAnsi" w:hAnsiTheme="minorHAnsi" w:cstheme="minorHAnsi"/>
                <w:b/>
                <w:bCs/>
              </w:rPr>
            </w:pPr>
            <w:proofErr w:type="spellStart"/>
            <w:r w:rsidRPr="001931DC">
              <w:rPr>
                <w:rFonts w:asciiTheme="minorHAnsi" w:hAnsiTheme="minorHAnsi" w:cstheme="minorHAnsi"/>
                <w:b/>
                <w:bCs/>
              </w:rPr>
              <w:t>iVista</w:t>
            </w:r>
            <w:proofErr w:type="spellEnd"/>
            <w:r w:rsidRPr="001931DC">
              <w:rPr>
                <w:rFonts w:asciiTheme="minorHAnsi" w:hAnsiTheme="minorHAnsi" w:cstheme="minorHAnsi"/>
                <w:b/>
                <w:bCs/>
              </w:rPr>
              <w:t xml:space="preserve"> Staff and Planners</w:t>
            </w:r>
          </w:p>
        </w:tc>
        <w:tc>
          <w:tcPr>
            <w:tcW w:w="1980" w:type="dxa"/>
          </w:tcPr>
          <w:p w14:paraId="1D670C90" w14:textId="1269784C" w:rsidR="00AC057C" w:rsidRPr="001931DC" w:rsidRDefault="00AC057C" w:rsidP="00AC057C">
            <w:pPr>
              <w:pStyle w:val="PlainText"/>
              <w:rPr>
                <w:rFonts w:asciiTheme="minorHAnsi" w:hAnsiTheme="minorHAnsi" w:cstheme="minorHAnsi"/>
              </w:rPr>
            </w:pPr>
            <w:r w:rsidRPr="001931DC">
              <w:rPr>
                <w:rFonts w:asciiTheme="minorHAnsi" w:hAnsiTheme="minorHAnsi" w:cstheme="minorHAnsi"/>
              </w:rPr>
              <w:t>N/A</w:t>
            </w:r>
          </w:p>
        </w:tc>
        <w:tc>
          <w:tcPr>
            <w:tcW w:w="4675" w:type="dxa"/>
          </w:tcPr>
          <w:p w14:paraId="1559C489" w14:textId="7338AC89" w:rsidR="00AC057C" w:rsidRPr="001931DC" w:rsidRDefault="00AC057C" w:rsidP="00AC057C">
            <w:pPr>
              <w:pStyle w:val="PlainText"/>
              <w:rPr>
                <w:rFonts w:asciiTheme="minorHAnsi" w:hAnsiTheme="minorHAnsi" w:cstheme="minorHAnsi"/>
              </w:rPr>
            </w:pPr>
            <w:r w:rsidRPr="001931DC">
              <w:rPr>
                <w:rFonts w:asciiTheme="minorHAnsi" w:hAnsiTheme="minorHAnsi" w:cstheme="minorHAnsi"/>
              </w:rPr>
              <w:t>Nothing to disclose</w:t>
            </w:r>
          </w:p>
        </w:tc>
      </w:tr>
      <w:tr w:rsidR="00AC057C" w:rsidRPr="001931DC" w14:paraId="406A4AE6" w14:textId="77777777" w:rsidTr="00207367">
        <w:tc>
          <w:tcPr>
            <w:tcW w:w="10520" w:type="dxa"/>
            <w:gridSpan w:val="3"/>
          </w:tcPr>
          <w:p w14:paraId="3AA754BB" w14:textId="5D257119" w:rsidR="00AC057C" w:rsidRPr="001931DC" w:rsidRDefault="00AC057C" w:rsidP="00AC057C">
            <w:pPr>
              <w:pStyle w:val="PlainText"/>
              <w:jc w:val="center"/>
              <w:rPr>
                <w:rFonts w:asciiTheme="minorHAnsi" w:hAnsiTheme="minorHAnsi" w:cstheme="minorHAnsi"/>
                <w:b/>
                <w:bCs/>
              </w:rPr>
            </w:pPr>
            <w:r w:rsidRPr="001931DC">
              <w:rPr>
                <w:rFonts w:asciiTheme="minorHAnsi" w:hAnsiTheme="minorHAnsi" w:cstheme="minorHAnsi"/>
                <w:b/>
                <w:bCs/>
              </w:rPr>
              <w:t>All of the relevant financial relationships listed for these individuals have been mitigated.</w:t>
            </w:r>
          </w:p>
        </w:tc>
      </w:tr>
    </w:tbl>
    <w:p w14:paraId="1D5FCF27" w14:textId="77777777" w:rsidR="007C3B91" w:rsidRPr="00B8174F" w:rsidRDefault="007C3B91" w:rsidP="0016679A">
      <w:pPr>
        <w:spacing w:after="0" w:line="240" w:lineRule="auto"/>
        <w:rPr>
          <w:rFonts w:cstheme="minorHAnsi"/>
        </w:rPr>
      </w:pPr>
    </w:p>
    <w:p w14:paraId="7CE74C9E" w14:textId="51EF173C" w:rsidR="0016679A" w:rsidRPr="00B8174F" w:rsidRDefault="006A748C" w:rsidP="00235C78">
      <w:pPr>
        <w:spacing w:after="0" w:line="240" w:lineRule="auto"/>
        <w:rPr>
          <w:rFonts w:eastAsia="Times New Roman" w:cstheme="minorHAnsi"/>
          <w:b/>
        </w:rPr>
      </w:pPr>
      <w:r w:rsidRPr="00B8174F">
        <w:rPr>
          <w:rFonts w:eastAsia="Times New Roman" w:cstheme="minorHAnsi"/>
          <w:b/>
        </w:rPr>
        <w:t xml:space="preserve">Disclosure of Unlabeled Use and Investigational Product </w:t>
      </w:r>
    </w:p>
    <w:p w14:paraId="50733E49" w14:textId="77777777" w:rsidR="0016679A" w:rsidRPr="00B8174F" w:rsidRDefault="0016679A" w:rsidP="0016679A">
      <w:pPr>
        <w:spacing w:after="0" w:line="240" w:lineRule="auto"/>
        <w:rPr>
          <w:rFonts w:eastAsia="Times New Roman" w:cstheme="minorHAnsi"/>
        </w:rPr>
      </w:pPr>
      <w:r w:rsidRPr="00B8174F">
        <w:rPr>
          <w:rFonts w:eastAsia="Times New Roman" w:cstheme="minorHAnsi"/>
        </w:rPr>
        <w:t>This educational activity may include discussion of uses of agents that are investigational and/or unapproved by the FDA. Please refer to the official prescribing information for each product for discussion of approved indications, contraindications, and warnings.</w:t>
      </w:r>
    </w:p>
    <w:p w14:paraId="69D8AD23" w14:textId="77777777" w:rsidR="00584339" w:rsidRPr="00B8174F" w:rsidRDefault="00584339" w:rsidP="0016679A">
      <w:pPr>
        <w:spacing w:after="0" w:line="240" w:lineRule="auto"/>
        <w:rPr>
          <w:rFonts w:eastAsia="Times New Roman" w:cstheme="minorHAnsi"/>
          <w:b/>
        </w:rPr>
      </w:pPr>
    </w:p>
    <w:p w14:paraId="272EA380" w14:textId="77777777" w:rsidR="00B8174F" w:rsidRPr="00B8174F" w:rsidRDefault="00B8174F" w:rsidP="00B8174F">
      <w:pPr>
        <w:spacing w:after="0" w:line="240" w:lineRule="auto"/>
        <w:rPr>
          <w:rFonts w:eastAsia="Times New Roman" w:cstheme="minorHAnsi"/>
          <w:b/>
          <w:bCs/>
          <w:color w:val="000000"/>
        </w:rPr>
      </w:pPr>
      <w:r w:rsidRPr="00B8174F">
        <w:rPr>
          <w:rFonts w:eastAsia="Times New Roman" w:cstheme="minorHAnsi"/>
          <w:b/>
          <w:bCs/>
          <w:color w:val="000000"/>
        </w:rPr>
        <w:t xml:space="preserve">Disclaimer </w:t>
      </w:r>
    </w:p>
    <w:p w14:paraId="60CD9975" w14:textId="55FDBC7D" w:rsidR="006A748C" w:rsidRPr="00D24752" w:rsidRDefault="00B8174F" w:rsidP="00D303DB">
      <w:pPr>
        <w:spacing w:after="0" w:line="240" w:lineRule="auto"/>
        <w:rPr>
          <w:rFonts w:eastAsia="Times New Roman" w:cstheme="minorHAnsi"/>
          <w:color w:val="000000"/>
        </w:rPr>
      </w:pPr>
      <w:r w:rsidRPr="00B8174F">
        <w:rPr>
          <w:rFonts w:eastAsia="Times New Roman" w:cstheme="minorHAnsi"/>
          <w:color w:val="000000"/>
        </w:rPr>
        <w:t>This course is designed solely to provide the healthcare professional with information to assist in his/her practice and professional development and is not to be considered a diagnostic tool to replace professional advice or treatment. The course serves as a general guide to the healthcare professional, and therefore, cannot be considered as giving legal, nursing, medical, or other professional advice in specific cases. AKH Inc. specifically disclaims responsibility for any adverse consequences resulting directly or indirectly from information in the course, for undetected error, or through participant's misunderstanding of the content.</w:t>
      </w:r>
    </w:p>
    <w:sectPr w:rsidR="006A748C" w:rsidRPr="00D24752" w:rsidSect="00B7254E">
      <w:pgSz w:w="12240" w:h="15840"/>
      <w:pgMar w:top="180" w:right="900" w:bottom="9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EFDD" w14:textId="77777777" w:rsidR="00183550" w:rsidRDefault="00183550" w:rsidP="009430EB">
      <w:pPr>
        <w:spacing w:after="0" w:line="240" w:lineRule="auto"/>
      </w:pPr>
      <w:r>
        <w:separator/>
      </w:r>
    </w:p>
  </w:endnote>
  <w:endnote w:type="continuationSeparator" w:id="0">
    <w:p w14:paraId="0C239055" w14:textId="77777777" w:rsidR="00183550" w:rsidRDefault="00183550" w:rsidP="0094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359C" w14:textId="77777777" w:rsidR="00183550" w:rsidRDefault="00183550" w:rsidP="009430EB">
      <w:pPr>
        <w:spacing w:after="0" w:line="240" w:lineRule="auto"/>
      </w:pPr>
      <w:r>
        <w:separator/>
      </w:r>
    </w:p>
  </w:footnote>
  <w:footnote w:type="continuationSeparator" w:id="0">
    <w:p w14:paraId="2177A929" w14:textId="77777777" w:rsidR="00183550" w:rsidRDefault="00183550" w:rsidP="00943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DF2"/>
    <w:multiLevelType w:val="hybridMultilevel"/>
    <w:tmpl w:val="5F92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12E25"/>
    <w:multiLevelType w:val="hybridMultilevel"/>
    <w:tmpl w:val="214A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54BBE"/>
    <w:multiLevelType w:val="hybridMultilevel"/>
    <w:tmpl w:val="D3F4BB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1CA249F"/>
    <w:multiLevelType w:val="multilevel"/>
    <w:tmpl w:val="3804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53913"/>
    <w:multiLevelType w:val="hybridMultilevel"/>
    <w:tmpl w:val="A3DA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D304D"/>
    <w:multiLevelType w:val="hybridMultilevel"/>
    <w:tmpl w:val="90D6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736A2"/>
    <w:multiLevelType w:val="hybridMultilevel"/>
    <w:tmpl w:val="4FF6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86881"/>
    <w:multiLevelType w:val="hybridMultilevel"/>
    <w:tmpl w:val="AEEC18EE"/>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7F0BE7"/>
    <w:multiLevelType w:val="hybridMultilevel"/>
    <w:tmpl w:val="9D20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339A9"/>
    <w:multiLevelType w:val="hybridMultilevel"/>
    <w:tmpl w:val="B1B02F82"/>
    <w:lvl w:ilvl="0" w:tplc="081695CE">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C58E7"/>
    <w:multiLevelType w:val="hybridMultilevel"/>
    <w:tmpl w:val="0F40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06552"/>
    <w:multiLevelType w:val="hybridMultilevel"/>
    <w:tmpl w:val="59822642"/>
    <w:lvl w:ilvl="0" w:tplc="081695CE">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807D70"/>
    <w:multiLevelType w:val="hybridMultilevel"/>
    <w:tmpl w:val="249C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E793D"/>
    <w:multiLevelType w:val="hybridMultilevel"/>
    <w:tmpl w:val="F23810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68C5D50"/>
    <w:multiLevelType w:val="hybridMultilevel"/>
    <w:tmpl w:val="FA2CEF18"/>
    <w:lvl w:ilvl="0" w:tplc="081695CE">
      <w:start w:val="1"/>
      <w:numFmt w:val="decimal"/>
      <w:lvlText w:val="%1."/>
      <w:lvlJc w:val="left"/>
      <w:pPr>
        <w:ind w:left="2700" w:hanging="360"/>
      </w:pPr>
      <w:rPr>
        <w:rFonts w:hint="default"/>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7602715"/>
    <w:multiLevelType w:val="hybridMultilevel"/>
    <w:tmpl w:val="C9AA09C8"/>
    <w:lvl w:ilvl="0" w:tplc="928EF8E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C7436"/>
    <w:multiLevelType w:val="hybridMultilevel"/>
    <w:tmpl w:val="FF0288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5C604C0"/>
    <w:multiLevelType w:val="hybridMultilevel"/>
    <w:tmpl w:val="B08ED342"/>
    <w:lvl w:ilvl="0" w:tplc="081695CE">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455EB"/>
    <w:multiLevelType w:val="hybridMultilevel"/>
    <w:tmpl w:val="B9125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25778F"/>
    <w:multiLevelType w:val="multilevel"/>
    <w:tmpl w:val="DF4E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17C1E"/>
    <w:multiLevelType w:val="hybridMultilevel"/>
    <w:tmpl w:val="B31CB2C8"/>
    <w:lvl w:ilvl="0" w:tplc="081695CE">
      <w:start w:val="1"/>
      <w:numFmt w:val="decimal"/>
      <w:lvlText w:val="%1."/>
      <w:lvlJc w:val="left"/>
      <w:pPr>
        <w:ind w:left="2700" w:hanging="360"/>
      </w:pPr>
      <w:rPr>
        <w:rFonts w:hint="default"/>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5A955F2D"/>
    <w:multiLevelType w:val="hybridMultilevel"/>
    <w:tmpl w:val="2756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36A54"/>
    <w:multiLevelType w:val="hybridMultilevel"/>
    <w:tmpl w:val="C7A49C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A22B60"/>
    <w:multiLevelType w:val="hybridMultilevel"/>
    <w:tmpl w:val="36FAA6F6"/>
    <w:lvl w:ilvl="0" w:tplc="5F1635BE">
      <w:numFmt w:val="bullet"/>
      <w:lvlText w:val="-"/>
      <w:lvlJc w:val="left"/>
      <w:pPr>
        <w:ind w:left="1260" w:hanging="360"/>
      </w:pPr>
      <w:rPr>
        <w:rFonts w:ascii="Calibri" w:eastAsia="Times New Roman"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F174695"/>
    <w:multiLevelType w:val="hybridMultilevel"/>
    <w:tmpl w:val="F1BC78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24D489B"/>
    <w:multiLevelType w:val="hybridMultilevel"/>
    <w:tmpl w:val="4766A95E"/>
    <w:lvl w:ilvl="0" w:tplc="081695CE">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87240"/>
    <w:multiLevelType w:val="hybridMultilevel"/>
    <w:tmpl w:val="AF72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8"/>
  </w:num>
  <w:num w:numId="4">
    <w:abstractNumId w:val="11"/>
  </w:num>
  <w:num w:numId="5">
    <w:abstractNumId w:val="15"/>
  </w:num>
  <w:num w:numId="6">
    <w:abstractNumId w:val="6"/>
  </w:num>
  <w:num w:numId="7">
    <w:abstractNumId w:val="17"/>
  </w:num>
  <w:num w:numId="8">
    <w:abstractNumId w:val="23"/>
  </w:num>
  <w:num w:numId="9">
    <w:abstractNumId w:val="20"/>
  </w:num>
  <w:num w:numId="10">
    <w:abstractNumId w:val="14"/>
  </w:num>
  <w:num w:numId="11">
    <w:abstractNumId w:val="9"/>
  </w:num>
  <w:num w:numId="12">
    <w:abstractNumId w:val="25"/>
  </w:num>
  <w:num w:numId="13">
    <w:abstractNumId w:val="24"/>
  </w:num>
  <w:num w:numId="14">
    <w:abstractNumId w:val="10"/>
  </w:num>
  <w:num w:numId="15">
    <w:abstractNumId w:val="7"/>
  </w:num>
  <w:num w:numId="16">
    <w:abstractNumId w:val="26"/>
  </w:num>
  <w:num w:numId="17">
    <w:abstractNumId w:val="12"/>
  </w:num>
  <w:num w:numId="18">
    <w:abstractNumId w:val="22"/>
  </w:num>
  <w:num w:numId="19">
    <w:abstractNumId w:val="13"/>
  </w:num>
  <w:num w:numId="20">
    <w:abstractNumId w:val="2"/>
  </w:num>
  <w:num w:numId="21">
    <w:abstractNumId w:val="16"/>
  </w:num>
  <w:num w:numId="22">
    <w:abstractNumId w:val="1"/>
  </w:num>
  <w:num w:numId="23">
    <w:abstractNumId w:val="4"/>
  </w:num>
  <w:num w:numId="24">
    <w:abstractNumId w:val="5"/>
  </w:num>
  <w:num w:numId="25">
    <w:abstractNumId w:val="21"/>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3DB"/>
    <w:rsid w:val="00005946"/>
    <w:rsid w:val="000059A7"/>
    <w:rsid w:val="000076A3"/>
    <w:rsid w:val="000106AA"/>
    <w:rsid w:val="000109E6"/>
    <w:rsid w:val="00010CEB"/>
    <w:rsid w:val="00011494"/>
    <w:rsid w:val="00011E9A"/>
    <w:rsid w:val="00020C9C"/>
    <w:rsid w:val="000227BB"/>
    <w:rsid w:val="00023070"/>
    <w:rsid w:val="000250F6"/>
    <w:rsid w:val="000272A5"/>
    <w:rsid w:val="00030D49"/>
    <w:rsid w:val="0003235C"/>
    <w:rsid w:val="000346EE"/>
    <w:rsid w:val="00034823"/>
    <w:rsid w:val="0004051E"/>
    <w:rsid w:val="00043802"/>
    <w:rsid w:val="00044AF9"/>
    <w:rsid w:val="0004617E"/>
    <w:rsid w:val="0005072F"/>
    <w:rsid w:val="00052584"/>
    <w:rsid w:val="00054D6F"/>
    <w:rsid w:val="00055C09"/>
    <w:rsid w:val="000570B1"/>
    <w:rsid w:val="000619D9"/>
    <w:rsid w:val="0006405F"/>
    <w:rsid w:val="00067771"/>
    <w:rsid w:val="00073324"/>
    <w:rsid w:val="0007376C"/>
    <w:rsid w:val="000750A3"/>
    <w:rsid w:val="00076B0A"/>
    <w:rsid w:val="000842B0"/>
    <w:rsid w:val="00085279"/>
    <w:rsid w:val="00087189"/>
    <w:rsid w:val="0008726F"/>
    <w:rsid w:val="0008753F"/>
    <w:rsid w:val="00093FCC"/>
    <w:rsid w:val="00095493"/>
    <w:rsid w:val="000A2A07"/>
    <w:rsid w:val="000A4E83"/>
    <w:rsid w:val="000A626D"/>
    <w:rsid w:val="000A6275"/>
    <w:rsid w:val="000A7049"/>
    <w:rsid w:val="000A7E6B"/>
    <w:rsid w:val="000B1CDC"/>
    <w:rsid w:val="000B20F4"/>
    <w:rsid w:val="000B3978"/>
    <w:rsid w:val="000B588B"/>
    <w:rsid w:val="000B6008"/>
    <w:rsid w:val="000B77BF"/>
    <w:rsid w:val="000C20CB"/>
    <w:rsid w:val="000C6E71"/>
    <w:rsid w:val="000D277C"/>
    <w:rsid w:val="000D31FC"/>
    <w:rsid w:val="000E0ECF"/>
    <w:rsid w:val="000E383B"/>
    <w:rsid w:val="000E4C48"/>
    <w:rsid w:val="000E691D"/>
    <w:rsid w:val="000E6CAB"/>
    <w:rsid w:val="000F15AD"/>
    <w:rsid w:val="000F1CBF"/>
    <w:rsid w:val="000F428D"/>
    <w:rsid w:val="000F4C41"/>
    <w:rsid w:val="00101715"/>
    <w:rsid w:val="00102FFA"/>
    <w:rsid w:val="0010442F"/>
    <w:rsid w:val="001104A5"/>
    <w:rsid w:val="00114802"/>
    <w:rsid w:val="00121828"/>
    <w:rsid w:val="001221AF"/>
    <w:rsid w:val="00126B5B"/>
    <w:rsid w:val="00127ED1"/>
    <w:rsid w:val="00130003"/>
    <w:rsid w:val="00130167"/>
    <w:rsid w:val="00131374"/>
    <w:rsid w:val="00133F9B"/>
    <w:rsid w:val="00134F28"/>
    <w:rsid w:val="00137CB4"/>
    <w:rsid w:val="0014117E"/>
    <w:rsid w:val="001460F8"/>
    <w:rsid w:val="00155715"/>
    <w:rsid w:val="0016467E"/>
    <w:rsid w:val="001655AD"/>
    <w:rsid w:val="001656CD"/>
    <w:rsid w:val="0016679A"/>
    <w:rsid w:val="001678A0"/>
    <w:rsid w:val="0017381F"/>
    <w:rsid w:val="00173B40"/>
    <w:rsid w:val="00176D3A"/>
    <w:rsid w:val="001825AF"/>
    <w:rsid w:val="00182B22"/>
    <w:rsid w:val="00183550"/>
    <w:rsid w:val="001852A3"/>
    <w:rsid w:val="00187A8D"/>
    <w:rsid w:val="001913F7"/>
    <w:rsid w:val="00191AF9"/>
    <w:rsid w:val="001931DC"/>
    <w:rsid w:val="001976A1"/>
    <w:rsid w:val="001A3DB4"/>
    <w:rsid w:val="001A4218"/>
    <w:rsid w:val="001A4AF2"/>
    <w:rsid w:val="001A741E"/>
    <w:rsid w:val="001B1872"/>
    <w:rsid w:val="001B3633"/>
    <w:rsid w:val="001B4CC4"/>
    <w:rsid w:val="001B5E50"/>
    <w:rsid w:val="001B7350"/>
    <w:rsid w:val="001B7DEE"/>
    <w:rsid w:val="001C1E80"/>
    <w:rsid w:val="001C220A"/>
    <w:rsid w:val="001C4BD1"/>
    <w:rsid w:val="001C6A54"/>
    <w:rsid w:val="001C6B74"/>
    <w:rsid w:val="001D20D7"/>
    <w:rsid w:val="001D264B"/>
    <w:rsid w:val="001D50B4"/>
    <w:rsid w:val="001E3CFD"/>
    <w:rsid w:val="001E4EA8"/>
    <w:rsid w:val="001E52D8"/>
    <w:rsid w:val="001F071F"/>
    <w:rsid w:val="001F1D83"/>
    <w:rsid w:val="001F7E3F"/>
    <w:rsid w:val="0020293D"/>
    <w:rsid w:val="00202B97"/>
    <w:rsid w:val="00204908"/>
    <w:rsid w:val="00205063"/>
    <w:rsid w:val="00205D34"/>
    <w:rsid w:val="00212DC9"/>
    <w:rsid w:val="0021304A"/>
    <w:rsid w:val="00216BE9"/>
    <w:rsid w:val="00221D8E"/>
    <w:rsid w:val="002227ED"/>
    <w:rsid w:val="00223914"/>
    <w:rsid w:val="00223FF5"/>
    <w:rsid w:val="002255FF"/>
    <w:rsid w:val="00227E06"/>
    <w:rsid w:val="00227F47"/>
    <w:rsid w:val="0023057E"/>
    <w:rsid w:val="00235C78"/>
    <w:rsid w:val="00240AEA"/>
    <w:rsid w:val="002412B6"/>
    <w:rsid w:val="002446EC"/>
    <w:rsid w:val="00256C91"/>
    <w:rsid w:val="00256F85"/>
    <w:rsid w:val="00257534"/>
    <w:rsid w:val="00261F06"/>
    <w:rsid w:val="002634AB"/>
    <w:rsid w:val="002704B5"/>
    <w:rsid w:val="0027231E"/>
    <w:rsid w:val="00272EB9"/>
    <w:rsid w:val="00273CCF"/>
    <w:rsid w:val="002758A5"/>
    <w:rsid w:val="0028251A"/>
    <w:rsid w:val="002844A3"/>
    <w:rsid w:val="00287B1D"/>
    <w:rsid w:val="00287D4B"/>
    <w:rsid w:val="00294A02"/>
    <w:rsid w:val="002A7BD7"/>
    <w:rsid w:val="002B0E77"/>
    <w:rsid w:val="002B1646"/>
    <w:rsid w:val="002B30DE"/>
    <w:rsid w:val="002B6BE8"/>
    <w:rsid w:val="002C2931"/>
    <w:rsid w:val="002C5312"/>
    <w:rsid w:val="002C6553"/>
    <w:rsid w:val="002C6EAB"/>
    <w:rsid w:val="002C70E0"/>
    <w:rsid w:val="002D28F4"/>
    <w:rsid w:val="002D2BBB"/>
    <w:rsid w:val="002D4E8E"/>
    <w:rsid w:val="002D4E9C"/>
    <w:rsid w:val="002D757A"/>
    <w:rsid w:val="002E0AED"/>
    <w:rsid w:val="002E2F2F"/>
    <w:rsid w:val="002E465D"/>
    <w:rsid w:val="002E4EB3"/>
    <w:rsid w:val="002E565D"/>
    <w:rsid w:val="002E6CAF"/>
    <w:rsid w:val="002E6D25"/>
    <w:rsid w:val="002F1B71"/>
    <w:rsid w:val="002F3724"/>
    <w:rsid w:val="002F3C84"/>
    <w:rsid w:val="002F58D5"/>
    <w:rsid w:val="002F5C86"/>
    <w:rsid w:val="00301C06"/>
    <w:rsid w:val="003034AC"/>
    <w:rsid w:val="00304008"/>
    <w:rsid w:val="003059E3"/>
    <w:rsid w:val="00305C59"/>
    <w:rsid w:val="00305F67"/>
    <w:rsid w:val="00307073"/>
    <w:rsid w:val="003112E5"/>
    <w:rsid w:val="003119EE"/>
    <w:rsid w:val="00312DEE"/>
    <w:rsid w:val="00320998"/>
    <w:rsid w:val="00321D8A"/>
    <w:rsid w:val="00334A34"/>
    <w:rsid w:val="00334C26"/>
    <w:rsid w:val="00340447"/>
    <w:rsid w:val="0034309F"/>
    <w:rsid w:val="00351D00"/>
    <w:rsid w:val="003520AA"/>
    <w:rsid w:val="00355B7F"/>
    <w:rsid w:val="0035679C"/>
    <w:rsid w:val="00357378"/>
    <w:rsid w:val="00357CD4"/>
    <w:rsid w:val="00366AF5"/>
    <w:rsid w:val="00371487"/>
    <w:rsid w:val="00374F8D"/>
    <w:rsid w:val="0037536D"/>
    <w:rsid w:val="00380C44"/>
    <w:rsid w:val="003810B0"/>
    <w:rsid w:val="0038111D"/>
    <w:rsid w:val="0038793F"/>
    <w:rsid w:val="00387A86"/>
    <w:rsid w:val="00392797"/>
    <w:rsid w:val="00397E67"/>
    <w:rsid w:val="003A3ECE"/>
    <w:rsid w:val="003A6CDF"/>
    <w:rsid w:val="003B116B"/>
    <w:rsid w:val="003B4760"/>
    <w:rsid w:val="003B67D7"/>
    <w:rsid w:val="003B7D4C"/>
    <w:rsid w:val="003C0496"/>
    <w:rsid w:val="003C2FE7"/>
    <w:rsid w:val="003C31B0"/>
    <w:rsid w:val="003C3F6F"/>
    <w:rsid w:val="003D32E4"/>
    <w:rsid w:val="003D4CD6"/>
    <w:rsid w:val="003E0052"/>
    <w:rsid w:val="003E0D8C"/>
    <w:rsid w:val="003E30A4"/>
    <w:rsid w:val="003E4630"/>
    <w:rsid w:val="003F0338"/>
    <w:rsid w:val="00400156"/>
    <w:rsid w:val="00401542"/>
    <w:rsid w:val="00404AE8"/>
    <w:rsid w:val="00410473"/>
    <w:rsid w:val="00411609"/>
    <w:rsid w:val="00412869"/>
    <w:rsid w:val="00412E43"/>
    <w:rsid w:val="00417D3D"/>
    <w:rsid w:val="00422193"/>
    <w:rsid w:val="00424215"/>
    <w:rsid w:val="00424C3A"/>
    <w:rsid w:val="00424E08"/>
    <w:rsid w:val="00427A3D"/>
    <w:rsid w:val="00431D14"/>
    <w:rsid w:val="00434752"/>
    <w:rsid w:val="00434A6A"/>
    <w:rsid w:val="00440944"/>
    <w:rsid w:val="00441D72"/>
    <w:rsid w:val="00442CE8"/>
    <w:rsid w:val="00443090"/>
    <w:rsid w:val="004433BF"/>
    <w:rsid w:val="00446D57"/>
    <w:rsid w:val="004474DB"/>
    <w:rsid w:val="00450414"/>
    <w:rsid w:val="00451023"/>
    <w:rsid w:val="00453D6B"/>
    <w:rsid w:val="00455C7C"/>
    <w:rsid w:val="004600B2"/>
    <w:rsid w:val="004619E2"/>
    <w:rsid w:val="0046748C"/>
    <w:rsid w:val="00471924"/>
    <w:rsid w:val="00473041"/>
    <w:rsid w:val="00474302"/>
    <w:rsid w:val="00474714"/>
    <w:rsid w:val="00474DAC"/>
    <w:rsid w:val="00477D23"/>
    <w:rsid w:val="0048180E"/>
    <w:rsid w:val="0049142D"/>
    <w:rsid w:val="00494639"/>
    <w:rsid w:val="00494E4C"/>
    <w:rsid w:val="0049628F"/>
    <w:rsid w:val="004A3718"/>
    <w:rsid w:val="004A4D7C"/>
    <w:rsid w:val="004B076B"/>
    <w:rsid w:val="004B0875"/>
    <w:rsid w:val="004B316A"/>
    <w:rsid w:val="004B3279"/>
    <w:rsid w:val="004B3AC4"/>
    <w:rsid w:val="004B4875"/>
    <w:rsid w:val="004C02A8"/>
    <w:rsid w:val="004C19A4"/>
    <w:rsid w:val="004C20F5"/>
    <w:rsid w:val="004C26ED"/>
    <w:rsid w:val="004C4152"/>
    <w:rsid w:val="004C4F20"/>
    <w:rsid w:val="004C5C6A"/>
    <w:rsid w:val="004D0DE5"/>
    <w:rsid w:val="004D315C"/>
    <w:rsid w:val="004D649E"/>
    <w:rsid w:val="004E130F"/>
    <w:rsid w:val="004E1CBB"/>
    <w:rsid w:val="004E2C74"/>
    <w:rsid w:val="004E598D"/>
    <w:rsid w:val="004E6C89"/>
    <w:rsid w:val="004F2A91"/>
    <w:rsid w:val="004F70F1"/>
    <w:rsid w:val="005013A6"/>
    <w:rsid w:val="00501A52"/>
    <w:rsid w:val="005028DA"/>
    <w:rsid w:val="00504D07"/>
    <w:rsid w:val="00505FDF"/>
    <w:rsid w:val="0051284E"/>
    <w:rsid w:val="0051620F"/>
    <w:rsid w:val="0051693D"/>
    <w:rsid w:val="00520D6A"/>
    <w:rsid w:val="00520D9A"/>
    <w:rsid w:val="00522C14"/>
    <w:rsid w:val="00530707"/>
    <w:rsid w:val="00530F07"/>
    <w:rsid w:val="00531186"/>
    <w:rsid w:val="00535B92"/>
    <w:rsid w:val="00541261"/>
    <w:rsid w:val="0054333D"/>
    <w:rsid w:val="00544BEF"/>
    <w:rsid w:val="00557DEA"/>
    <w:rsid w:val="0056167E"/>
    <w:rsid w:val="00562529"/>
    <w:rsid w:val="0056331D"/>
    <w:rsid w:val="00564ADF"/>
    <w:rsid w:val="005668AF"/>
    <w:rsid w:val="00570DE1"/>
    <w:rsid w:val="005717AC"/>
    <w:rsid w:val="005721A9"/>
    <w:rsid w:val="005768ED"/>
    <w:rsid w:val="005769D9"/>
    <w:rsid w:val="00576C84"/>
    <w:rsid w:val="00577DC1"/>
    <w:rsid w:val="00580763"/>
    <w:rsid w:val="00584339"/>
    <w:rsid w:val="00585528"/>
    <w:rsid w:val="005856B1"/>
    <w:rsid w:val="00586060"/>
    <w:rsid w:val="00587530"/>
    <w:rsid w:val="005956DD"/>
    <w:rsid w:val="005A76CF"/>
    <w:rsid w:val="005B11D7"/>
    <w:rsid w:val="005B145F"/>
    <w:rsid w:val="005B3370"/>
    <w:rsid w:val="005B3BE8"/>
    <w:rsid w:val="005B65CF"/>
    <w:rsid w:val="005C3CF5"/>
    <w:rsid w:val="005C58F2"/>
    <w:rsid w:val="005C7BC2"/>
    <w:rsid w:val="005D3B57"/>
    <w:rsid w:val="005D50D1"/>
    <w:rsid w:val="005D5608"/>
    <w:rsid w:val="005D65D7"/>
    <w:rsid w:val="005D721A"/>
    <w:rsid w:val="005D7A2B"/>
    <w:rsid w:val="005E25CE"/>
    <w:rsid w:val="005E3AB9"/>
    <w:rsid w:val="005E557E"/>
    <w:rsid w:val="005E56E1"/>
    <w:rsid w:val="005F09D4"/>
    <w:rsid w:val="005F56F4"/>
    <w:rsid w:val="005F5952"/>
    <w:rsid w:val="00602FDC"/>
    <w:rsid w:val="00604308"/>
    <w:rsid w:val="00605305"/>
    <w:rsid w:val="0060555A"/>
    <w:rsid w:val="00605A25"/>
    <w:rsid w:val="00612347"/>
    <w:rsid w:val="00612B89"/>
    <w:rsid w:val="00614E1A"/>
    <w:rsid w:val="00625593"/>
    <w:rsid w:val="00625E1A"/>
    <w:rsid w:val="00627882"/>
    <w:rsid w:val="00637CA8"/>
    <w:rsid w:val="006434A9"/>
    <w:rsid w:val="006450B2"/>
    <w:rsid w:val="006551FB"/>
    <w:rsid w:val="006562AB"/>
    <w:rsid w:val="0066283C"/>
    <w:rsid w:val="006636FC"/>
    <w:rsid w:val="0066564D"/>
    <w:rsid w:val="00666692"/>
    <w:rsid w:val="00666FEC"/>
    <w:rsid w:val="00672EF9"/>
    <w:rsid w:val="006734DC"/>
    <w:rsid w:val="00674B20"/>
    <w:rsid w:val="00681041"/>
    <w:rsid w:val="00686BD0"/>
    <w:rsid w:val="00686CE5"/>
    <w:rsid w:val="006907DC"/>
    <w:rsid w:val="006933B4"/>
    <w:rsid w:val="006976CA"/>
    <w:rsid w:val="006A12CC"/>
    <w:rsid w:val="006A4A44"/>
    <w:rsid w:val="006A4CD6"/>
    <w:rsid w:val="006A5262"/>
    <w:rsid w:val="006A6466"/>
    <w:rsid w:val="006A727A"/>
    <w:rsid w:val="006A748C"/>
    <w:rsid w:val="006A7D43"/>
    <w:rsid w:val="006B0E1E"/>
    <w:rsid w:val="006B2A53"/>
    <w:rsid w:val="006B4336"/>
    <w:rsid w:val="006B4992"/>
    <w:rsid w:val="006B5DEA"/>
    <w:rsid w:val="006B72E2"/>
    <w:rsid w:val="006C1E16"/>
    <w:rsid w:val="006C71D0"/>
    <w:rsid w:val="006D52E4"/>
    <w:rsid w:val="006D66A2"/>
    <w:rsid w:val="006D6A6F"/>
    <w:rsid w:val="006D7F72"/>
    <w:rsid w:val="006E14F3"/>
    <w:rsid w:val="006E4B45"/>
    <w:rsid w:val="006E58F4"/>
    <w:rsid w:val="006E5F64"/>
    <w:rsid w:val="006E638D"/>
    <w:rsid w:val="0070290D"/>
    <w:rsid w:val="00704A17"/>
    <w:rsid w:val="00704C2A"/>
    <w:rsid w:val="00711C7A"/>
    <w:rsid w:val="0071700C"/>
    <w:rsid w:val="00717617"/>
    <w:rsid w:val="00717F2B"/>
    <w:rsid w:val="00720686"/>
    <w:rsid w:val="007224BD"/>
    <w:rsid w:val="00722C68"/>
    <w:rsid w:val="00727328"/>
    <w:rsid w:val="00731478"/>
    <w:rsid w:val="00731C0F"/>
    <w:rsid w:val="007364D3"/>
    <w:rsid w:val="00736D18"/>
    <w:rsid w:val="00743610"/>
    <w:rsid w:val="007451B5"/>
    <w:rsid w:val="007451F4"/>
    <w:rsid w:val="00745742"/>
    <w:rsid w:val="00746228"/>
    <w:rsid w:val="0074677F"/>
    <w:rsid w:val="007524A5"/>
    <w:rsid w:val="007525D3"/>
    <w:rsid w:val="00753884"/>
    <w:rsid w:val="00755874"/>
    <w:rsid w:val="0075681E"/>
    <w:rsid w:val="00760237"/>
    <w:rsid w:val="00764D7D"/>
    <w:rsid w:val="0077682F"/>
    <w:rsid w:val="00782949"/>
    <w:rsid w:val="00790A4B"/>
    <w:rsid w:val="00791913"/>
    <w:rsid w:val="00792E81"/>
    <w:rsid w:val="00794113"/>
    <w:rsid w:val="007944AA"/>
    <w:rsid w:val="00797666"/>
    <w:rsid w:val="007A331E"/>
    <w:rsid w:val="007A43E8"/>
    <w:rsid w:val="007A712A"/>
    <w:rsid w:val="007B1EC9"/>
    <w:rsid w:val="007B4B03"/>
    <w:rsid w:val="007C0D7A"/>
    <w:rsid w:val="007C1BAE"/>
    <w:rsid w:val="007C1EF1"/>
    <w:rsid w:val="007C27B8"/>
    <w:rsid w:val="007C3B91"/>
    <w:rsid w:val="007C5965"/>
    <w:rsid w:val="007C5BBB"/>
    <w:rsid w:val="007C5F81"/>
    <w:rsid w:val="007C7687"/>
    <w:rsid w:val="007D0A41"/>
    <w:rsid w:val="007D141A"/>
    <w:rsid w:val="007D6DC8"/>
    <w:rsid w:val="007E2656"/>
    <w:rsid w:val="007F47A9"/>
    <w:rsid w:val="008027AE"/>
    <w:rsid w:val="00803D2B"/>
    <w:rsid w:val="0081138C"/>
    <w:rsid w:val="0081154E"/>
    <w:rsid w:val="00811666"/>
    <w:rsid w:val="00813E78"/>
    <w:rsid w:val="008147DE"/>
    <w:rsid w:val="00815530"/>
    <w:rsid w:val="00816638"/>
    <w:rsid w:val="00816872"/>
    <w:rsid w:val="00817D4D"/>
    <w:rsid w:val="00820076"/>
    <w:rsid w:val="008221A5"/>
    <w:rsid w:val="00823706"/>
    <w:rsid w:val="00825C19"/>
    <w:rsid w:val="00830773"/>
    <w:rsid w:val="0083478E"/>
    <w:rsid w:val="00835221"/>
    <w:rsid w:val="00835C93"/>
    <w:rsid w:val="00837909"/>
    <w:rsid w:val="008409CD"/>
    <w:rsid w:val="008422BB"/>
    <w:rsid w:val="008432ED"/>
    <w:rsid w:val="0084480F"/>
    <w:rsid w:val="00845DE8"/>
    <w:rsid w:val="00847A6C"/>
    <w:rsid w:val="00853367"/>
    <w:rsid w:val="008545AD"/>
    <w:rsid w:val="00854EC1"/>
    <w:rsid w:val="00855320"/>
    <w:rsid w:val="00855D53"/>
    <w:rsid w:val="0086066E"/>
    <w:rsid w:val="0086089E"/>
    <w:rsid w:val="008636AD"/>
    <w:rsid w:val="00864400"/>
    <w:rsid w:val="008673D5"/>
    <w:rsid w:val="00871D0F"/>
    <w:rsid w:val="008732A1"/>
    <w:rsid w:val="00873DEA"/>
    <w:rsid w:val="00880BFF"/>
    <w:rsid w:val="00882895"/>
    <w:rsid w:val="00883667"/>
    <w:rsid w:val="00884BE7"/>
    <w:rsid w:val="008865FD"/>
    <w:rsid w:val="0089044D"/>
    <w:rsid w:val="0089160E"/>
    <w:rsid w:val="00891C88"/>
    <w:rsid w:val="00893680"/>
    <w:rsid w:val="008A0F12"/>
    <w:rsid w:val="008A16B5"/>
    <w:rsid w:val="008A39A9"/>
    <w:rsid w:val="008A6B4D"/>
    <w:rsid w:val="008B1885"/>
    <w:rsid w:val="008B2559"/>
    <w:rsid w:val="008B447A"/>
    <w:rsid w:val="008B45E5"/>
    <w:rsid w:val="008B6291"/>
    <w:rsid w:val="008C3135"/>
    <w:rsid w:val="008E73BC"/>
    <w:rsid w:val="008E7F50"/>
    <w:rsid w:val="008F17DD"/>
    <w:rsid w:val="008F4622"/>
    <w:rsid w:val="008F50DC"/>
    <w:rsid w:val="00901065"/>
    <w:rsid w:val="00903A07"/>
    <w:rsid w:val="009048ED"/>
    <w:rsid w:val="0091324C"/>
    <w:rsid w:val="009144A2"/>
    <w:rsid w:val="009208E9"/>
    <w:rsid w:val="009248F0"/>
    <w:rsid w:val="00926BAC"/>
    <w:rsid w:val="0093197D"/>
    <w:rsid w:val="00933729"/>
    <w:rsid w:val="0093404F"/>
    <w:rsid w:val="009430EB"/>
    <w:rsid w:val="00943C18"/>
    <w:rsid w:val="00944282"/>
    <w:rsid w:val="009451C0"/>
    <w:rsid w:val="009511BE"/>
    <w:rsid w:val="00951C5A"/>
    <w:rsid w:val="009529C0"/>
    <w:rsid w:val="00953242"/>
    <w:rsid w:val="0095481D"/>
    <w:rsid w:val="009562F5"/>
    <w:rsid w:val="00956ED0"/>
    <w:rsid w:val="00957078"/>
    <w:rsid w:val="00957CE8"/>
    <w:rsid w:val="00960817"/>
    <w:rsid w:val="00960B2F"/>
    <w:rsid w:val="00961A8F"/>
    <w:rsid w:val="00966F60"/>
    <w:rsid w:val="009734DB"/>
    <w:rsid w:val="00974799"/>
    <w:rsid w:val="00975089"/>
    <w:rsid w:val="009763DD"/>
    <w:rsid w:val="00977324"/>
    <w:rsid w:val="00983C68"/>
    <w:rsid w:val="00992939"/>
    <w:rsid w:val="00993CDB"/>
    <w:rsid w:val="009956F4"/>
    <w:rsid w:val="009A0F07"/>
    <w:rsid w:val="009A1CAC"/>
    <w:rsid w:val="009A4882"/>
    <w:rsid w:val="009A5582"/>
    <w:rsid w:val="009A6A26"/>
    <w:rsid w:val="009A762D"/>
    <w:rsid w:val="009B039B"/>
    <w:rsid w:val="009B2EDD"/>
    <w:rsid w:val="009C4D97"/>
    <w:rsid w:val="009C6FD7"/>
    <w:rsid w:val="009D051E"/>
    <w:rsid w:val="009D1AEB"/>
    <w:rsid w:val="009D3ADD"/>
    <w:rsid w:val="009D41AB"/>
    <w:rsid w:val="009D461F"/>
    <w:rsid w:val="009D4C8B"/>
    <w:rsid w:val="009D5B90"/>
    <w:rsid w:val="009D7F53"/>
    <w:rsid w:val="009E5186"/>
    <w:rsid w:val="009F0629"/>
    <w:rsid w:val="009F4B60"/>
    <w:rsid w:val="00A0329A"/>
    <w:rsid w:val="00A14844"/>
    <w:rsid w:val="00A173D3"/>
    <w:rsid w:val="00A177F1"/>
    <w:rsid w:val="00A2019A"/>
    <w:rsid w:val="00A30C0C"/>
    <w:rsid w:val="00A367AD"/>
    <w:rsid w:val="00A37050"/>
    <w:rsid w:val="00A37798"/>
    <w:rsid w:val="00A37CD2"/>
    <w:rsid w:val="00A40B71"/>
    <w:rsid w:val="00A43B93"/>
    <w:rsid w:val="00A53CA7"/>
    <w:rsid w:val="00A53D39"/>
    <w:rsid w:val="00A61017"/>
    <w:rsid w:val="00A62F09"/>
    <w:rsid w:val="00A62F90"/>
    <w:rsid w:val="00A63376"/>
    <w:rsid w:val="00A71306"/>
    <w:rsid w:val="00A7130C"/>
    <w:rsid w:val="00A72656"/>
    <w:rsid w:val="00A760E6"/>
    <w:rsid w:val="00A76412"/>
    <w:rsid w:val="00A76CD4"/>
    <w:rsid w:val="00A839C7"/>
    <w:rsid w:val="00A84C8B"/>
    <w:rsid w:val="00A873C0"/>
    <w:rsid w:val="00A91482"/>
    <w:rsid w:val="00A951AF"/>
    <w:rsid w:val="00AA34BD"/>
    <w:rsid w:val="00AA4F55"/>
    <w:rsid w:val="00AA7F3F"/>
    <w:rsid w:val="00AB1748"/>
    <w:rsid w:val="00AB6FAB"/>
    <w:rsid w:val="00AC057C"/>
    <w:rsid w:val="00AC408A"/>
    <w:rsid w:val="00AC4278"/>
    <w:rsid w:val="00AC4846"/>
    <w:rsid w:val="00AC6D9B"/>
    <w:rsid w:val="00AD0570"/>
    <w:rsid w:val="00AD0F94"/>
    <w:rsid w:val="00AD2100"/>
    <w:rsid w:val="00AE2AD6"/>
    <w:rsid w:val="00AE5EF8"/>
    <w:rsid w:val="00AE76F6"/>
    <w:rsid w:val="00AF0F54"/>
    <w:rsid w:val="00AF24B5"/>
    <w:rsid w:val="00AF577A"/>
    <w:rsid w:val="00AF5D77"/>
    <w:rsid w:val="00B005C9"/>
    <w:rsid w:val="00B01BB0"/>
    <w:rsid w:val="00B06CD8"/>
    <w:rsid w:val="00B06D99"/>
    <w:rsid w:val="00B124AB"/>
    <w:rsid w:val="00B127DB"/>
    <w:rsid w:val="00B222FB"/>
    <w:rsid w:val="00B30151"/>
    <w:rsid w:val="00B322DD"/>
    <w:rsid w:val="00B3488D"/>
    <w:rsid w:val="00B3776C"/>
    <w:rsid w:val="00B4395B"/>
    <w:rsid w:val="00B44230"/>
    <w:rsid w:val="00B46DFF"/>
    <w:rsid w:val="00B50F4A"/>
    <w:rsid w:val="00B51A73"/>
    <w:rsid w:val="00B5463E"/>
    <w:rsid w:val="00B54D24"/>
    <w:rsid w:val="00B55CEC"/>
    <w:rsid w:val="00B61F4F"/>
    <w:rsid w:val="00B63DCB"/>
    <w:rsid w:val="00B63E2E"/>
    <w:rsid w:val="00B64D9F"/>
    <w:rsid w:val="00B66D92"/>
    <w:rsid w:val="00B66FEC"/>
    <w:rsid w:val="00B70648"/>
    <w:rsid w:val="00B7254E"/>
    <w:rsid w:val="00B75FF7"/>
    <w:rsid w:val="00B767A2"/>
    <w:rsid w:val="00B80B07"/>
    <w:rsid w:val="00B80E73"/>
    <w:rsid w:val="00B8174F"/>
    <w:rsid w:val="00B84669"/>
    <w:rsid w:val="00B87438"/>
    <w:rsid w:val="00B93F57"/>
    <w:rsid w:val="00BA3213"/>
    <w:rsid w:val="00BA35C9"/>
    <w:rsid w:val="00BB0D7F"/>
    <w:rsid w:val="00BB78A4"/>
    <w:rsid w:val="00BB7C62"/>
    <w:rsid w:val="00BC0AD5"/>
    <w:rsid w:val="00BC459F"/>
    <w:rsid w:val="00BC6599"/>
    <w:rsid w:val="00BD13FA"/>
    <w:rsid w:val="00BD203C"/>
    <w:rsid w:val="00BD2805"/>
    <w:rsid w:val="00BD2EC9"/>
    <w:rsid w:val="00BD47A2"/>
    <w:rsid w:val="00BD7621"/>
    <w:rsid w:val="00BD7D3D"/>
    <w:rsid w:val="00BE087B"/>
    <w:rsid w:val="00BE1771"/>
    <w:rsid w:val="00BE7D88"/>
    <w:rsid w:val="00BF0D2C"/>
    <w:rsid w:val="00BF1280"/>
    <w:rsid w:val="00BF1C91"/>
    <w:rsid w:val="00C0015E"/>
    <w:rsid w:val="00C01B38"/>
    <w:rsid w:val="00C02D65"/>
    <w:rsid w:val="00C05F69"/>
    <w:rsid w:val="00C13C45"/>
    <w:rsid w:val="00C15D57"/>
    <w:rsid w:val="00C22A90"/>
    <w:rsid w:val="00C22FD4"/>
    <w:rsid w:val="00C23A9D"/>
    <w:rsid w:val="00C262E1"/>
    <w:rsid w:val="00C333FA"/>
    <w:rsid w:val="00C342D1"/>
    <w:rsid w:val="00C34950"/>
    <w:rsid w:val="00C372DA"/>
    <w:rsid w:val="00C37978"/>
    <w:rsid w:val="00C42B84"/>
    <w:rsid w:val="00C43161"/>
    <w:rsid w:val="00C43D79"/>
    <w:rsid w:val="00C4635A"/>
    <w:rsid w:val="00C50EB9"/>
    <w:rsid w:val="00C51D25"/>
    <w:rsid w:val="00C53B52"/>
    <w:rsid w:val="00C570BA"/>
    <w:rsid w:val="00C63B60"/>
    <w:rsid w:val="00C771D4"/>
    <w:rsid w:val="00C83D2A"/>
    <w:rsid w:val="00C922FD"/>
    <w:rsid w:val="00C939F5"/>
    <w:rsid w:val="00C93DBD"/>
    <w:rsid w:val="00C95BB2"/>
    <w:rsid w:val="00CA3657"/>
    <w:rsid w:val="00CA600B"/>
    <w:rsid w:val="00CB240F"/>
    <w:rsid w:val="00CB26E1"/>
    <w:rsid w:val="00CC05CA"/>
    <w:rsid w:val="00CC1FAB"/>
    <w:rsid w:val="00CC2666"/>
    <w:rsid w:val="00CC4400"/>
    <w:rsid w:val="00CC4D82"/>
    <w:rsid w:val="00CC6A8F"/>
    <w:rsid w:val="00CC7DAC"/>
    <w:rsid w:val="00CD080C"/>
    <w:rsid w:val="00CD1194"/>
    <w:rsid w:val="00CD1827"/>
    <w:rsid w:val="00CD1B6F"/>
    <w:rsid w:val="00CD25ED"/>
    <w:rsid w:val="00CD2C8D"/>
    <w:rsid w:val="00CD4295"/>
    <w:rsid w:val="00CD6110"/>
    <w:rsid w:val="00CE1A97"/>
    <w:rsid w:val="00CE3E30"/>
    <w:rsid w:val="00CE75A0"/>
    <w:rsid w:val="00CF48B1"/>
    <w:rsid w:val="00CF5814"/>
    <w:rsid w:val="00D05D58"/>
    <w:rsid w:val="00D10413"/>
    <w:rsid w:val="00D10445"/>
    <w:rsid w:val="00D149BB"/>
    <w:rsid w:val="00D14B7E"/>
    <w:rsid w:val="00D174DA"/>
    <w:rsid w:val="00D24752"/>
    <w:rsid w:val="00D25426"/>
    <w:rsid w:val="00D303DB"/>
    <w:rsid w:val="00D3199B"/>
    <w:rsid w:val="00D350C2"/>
    <w:rsid w:val="00D3658B"/>
    <w:rsid w:val="00D379F8"/>
    <w:rsid w:val="00D402A2"/>
    <w:rsid w:val="00D40C74"/>
    <w:rsid w:val="00D432F5"/>
    <w:rsid w:val="00D43ABB"/>
    <w:rsid w:val="00D45894"/>
    <w:rsid w:val="00D5194E"/>
    <w:rsid w:val="00D640B5"/>
    <w:rsid w:val="00D646B3"/>
    <w:rsid w:val="00D67993"/>
    <w:rsid w:val="00D67DE7"/>
    <w:rsid w:val="00D743E5"/>
    <w:rsid w:val="00D74AB4"/>
    <w:rsid w:val="00D7581B"/>
    <w:rsid w:val="00D75ED4"/>
    <w:rsid w:val="00D7638C"/>
    <w:rsid w:val="00D837C6"/>
    <w:rsid w:val="00D9445A"/>
    <w:rsid w:val="00D9570D"/>
    <w:rsid w:val="00D966E9"/>
    <w:rsid w:val="00DA005A"/>
    <w:rsid w:val="00DA09A6"/>
    <w:rsid w:val="00DA1172"/>
    <w:rsid w:val="00DA212B"/>
    <w:rsid w:val="00DA33BE"/>
    <w:rsid w:val="00DA5B4E"/>
    <w:rsid w:val="00DB13B0"/>
    <w:rsid w:val="00DB2436"/>
    <w:rsid w:val="00DB3E19"/>
    <w:rsid w:val="00DB6E27"/>
    <w:rsid w:val="00DB7708"/>
    <w:rsid w:val="00DB784A"/>
    <w:rsid w:val="00DC0A1B"/>
    <w:rsid w:val="00DC1171"/>
    <w:rsid w:val="00DC29BE"/>
    <w:rsid w:val="00DC32C7"/>
    <w:rsid w:val="00DC3CC4"/>
    <w:rsid w:val="00DC7428"/>
    <w:rsid w:val="00DD0102"/>
    <w:rsid w:val="00DD3743"/>
    <w:rsid w:val="00DD6C4E"/>
    <w:rsid w:val="00DE38FA"/>
    <w:rsid w:val="00DE4659"/>
    <w:rsid w:val="00DE6DE4"/>
    <w:rsid w:val="00DE783D"/>
    <w:rsid w:val="00E01241"/>
    <w:rsid w:val="00E01D93"/>
    <w:rsid w:val="00E020DE"/>
    <w:rsid w:val="00E02736"/>
    <w:rsid w:val="00E03009"/>
    <w:rsid w:val="00E040F1"/>
    <w:rsid w:val="00E0437C"/>
    <w:rsid w:val="00E0587D"/>
    <w:rsid w:val="00E05980"/>
    <w:rsid w:val="00E10C7A"/>
    <w:rsid w:val="00E10DC0"/>
    <w:rsid w:val="00E1127B"/>
    <w:rsid w:val="00E11724"/>
    <w:rsid w:val="00E12CBD"/>
    <w:rsid w:val="00E13EE4"/>
    <w:rsid w:val="00E15E92"/>
    <w:rsid w:val="00E22CD2"/>
    <w:rsid w:val="00E239F4"/>
    <w:rsid w:val="00E3000A"/>
    <w:rsid w:val="00E31A1D"/>
    <w:rsid w:val="00E366A1"/>
    <w:rsid w:val="00E36FAB"/>
    <w:rsid w:val="00E37CD9"/>
    <w:rsid w:val="00E42F2F"/>
    <w:rsid w:val="00E50F1B"/>
    <w:rsid w:val="00E5195A"/>
    <w:rsid w:val="00E53911"/>
    <w:rsid w:val="00E53C5E"/>
    <w:rsid w:val="00E53E3F"/>
    <w:rsid w:val="00E6378C"/>
    <w:rsid w:val="00E70455"/>
    <w:rsid w:val="00E72863"/>
    <w:rsid w:val="00E73821"/>
    <w:rsid w:val="00E7425A"/>
    <w:rsid w:val="00E76F63"/>
    <w:rsid w:val="00E808C4"/>
    <w:rsid w:val="00E87E06"/>
    <w:rsid w:val="00E94F12"/>
    <w:rsid w:val="00E9732C"/>
    <w:rsid w:val="00E973BD"/>
    <w:rsid w:val="00EA210F"/>
    <w:rsid w:val="00EA3676"/>
    <w:rsid w:val="00EB20AD"/>
    <w:rsid w:val="00EB253F"/>
    <w:rsid w:val="00EB5E46"/>
    <w:rsid w:val="00EC05D4"/>
    <w:rsid w:val="00EC5F1C"/>
    <w:rsid w:val="00EC6BD0"/>
    <w:rsid w:val="00EC7EFE"/>
    <w:rsid w:val="00ED0214"/>
    <w:rsid w:val="00ED075A"/>
    <w:rsid w:val="00ED292E"/>
    <w:rsid w:val="00ED3B33"/>
    <w:rsid w:val="00ED5CC8"/>
    <w:rsid w:val="00EE00A7"/>
    <w:rsid w:val="00EE14FE"/>
    <w:rsid w:val="00EE1F8B"/>
    <w:rsid w:val="00EE4AF3"/>
    <w:rsid w:val="00EE64A9"/>
    <w:rsid w:val="00EF32B8"/>
    <w:rsid w:val="00EF52CC"/>
    <w:rsid w:val="00EF6850"/>
    <w:rsid w:val="00EF7A7F"/>
    <w:rsid w:val="00F07923"/>
    <w:rsid w:val="00F07C6C"/>
    <w:rsid w:val="00F11C2D"/>
    <w:rsid w:val="00F13E03"/>
    <w:rsid w:val="00F140D0"/>
    <w:rsid w:val="00F16DAA"/>
    <w:rsid w:val="00F21DF0"/>
    <w:rsid w:val="00F22C36"/>
    <w:rsid w:val="00F23C6A"/>
    <w:rsid w:val="00F2484C"/>
    <w:rsid w:val="00F3281A"/>
    <w:rsid w:val="00F33C1B"/>
    <w:rsid w:val="00F355CB"/>
    <w:rsid w:val="00F406A1"/>
    <w:rsid w:val="00F45B59"/>
    <w:rsid w:val="00F45FB0"/>
    <w:rsid w:val="00F51203"/>
    <w:rsid w:val="00F54DD2"/>
    <w:rsid w:val="00F60126"/>
    <w:rsid w:val="00F6105B"/>
    <w:rsid w:val="00F62354"/>
    <w:rsid w:val="00F63461"/>
    <w:rsid w:val="00F64329"/>
    <w:rsid w:val="00F64B31"/>
    <w:rsid w:val="00F64E07"/>
    <w:rsid w:val="00F65217"/>
    <w:rsid w:val="00F66580"/>
    <w:rsid w:val="00F712E2"/>
    <w:rsid w:val="00F73BC2"/>
    <w:rsid w:val="00F75C22"/>
    <w:rsid w:val="00F76C6E"/>
    <w:rsid w:val="00F772FD"/>
    <w:rsid w:val="00F811B0"/>
    <w:rsid w:val="00F81323"/>
    <w:rsid w:val="00F82876"/>
    <w:rsid w:val="00F86057"/>
    <w:rsid w:val="00F87EE0"/>
    <w:rsid w:val="00F9274B"/>
    <w:rsid w:val="00F928AA"/>
    <w:rsid w:val="00F93D8E"/>
    <w:rsid w:val="00F962A7"/>
    <w:rsid w:val="00F97F1C"/>
    <w:rsid w:val="00FA060D"/>
    <w:rsid w:val="00FA0DBF"/>
    <w:rsid w:val="00FA12C9"/>
    <w:rsid w:val="00FA3DAB"/>
    <w:rsid w:val="00FA729E"/>
    <w:rsid w:val="00FA74C4"/>
    <w:rsid w:val="00FB09B9"/>
    <w:rsid w:val="00FB1576"/>
    <w:rsid w:val="00FB19D5"/>
    <w:rsid w:val="00FB3B00"/>
    <w:rsid w:val="00FC05C5"/>
    <w:rsid w:val="00FC442A"/>
    <w:rsid w:val="00FC5CB4"/>
    <w:rsid w:val="00FD01BB"/>
    <w:rsid w:val="00FD3AB5"/>
    <w:rsid w:val="00FD4B6D"/>
    <w:rsid w:val="00FD563E"/>
    <w:rsid w:val="00FD6A04"/>
    <w:rsid w:val="00FE2F05"/>
    <w:rsid w:val="00FE684F"/>
    <w:rsid w:val="00FF4B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F48B3"/>
  <w15:docId w15:val="{D6DFEBF4-C5BB-49E7-8326-DCF787C9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3DB"/>
    <w:rPr>
      <w:color w:val="0000FF" w:themeColor="hyperlink"/>
      <w:u w:val="single"/>
    </w:rPr>
  </w:style>
  <w:style w:type="table" w:styleId="TableGrid">
    <w:name w:val="Table Grid"/>
    <w:basedOn w:val="TableNormal"/>
    <w:uiPriority w:val="59"/>
    <w:rsid w:val="00D303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30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3DB"/>
    <w:rPr>
      <w:rFonts w:ascii="Tahoma" w:hAnsi="Tahoma" w:cs="Tahoma"/>
      <w:sz w:val="16"/>
      <w:szCs w:val="16"/>
    </w:rPr>
  </w:style>
  <w:style w:type="paragraph" w:styleId="ListParagraph">
    <w:name w:val="List Paragraph"/>
    <w:basedOn w:val="Normal"/>
    <w:uiPriority w:val="34"/>
    <w:qFormat/>
    <w:rsid w:val="00C22A90"/>
    <w:pPr>
      <w:ind w:left="720"/>
      <w:contextualSpacing/>
    </w:pPr>
  </w:style>
  <w:style w:type="paragraph" w:styleId="Header">
    <w:name w:val="header"/>
    <w:basedOn w:val="Normal"/>
    <w:link w:val="HeaderChar"/>
    <w:uiPriority w:val="99"/>
    <w:semiHidden/>
    <w:unhideWhenUsed/>
    <w:rsid w:val="009430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30EB"/>
  </w:style>
  <w:style w:type="paragraph" w:styleId="Footer">
    <w:name w:val="footer"/>
    <w:basedOn w:val="Normal"/>
    <w:link w:val="FooterChar"/>
    <w:uiPriority w:val="99"/>
    <w:semiHidden/>
    <w:unhideWhenUsed/>
    <w:rsid w:val="009430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0EB"/>
  </w:style>
  <w:style w:type="character" w:styleId="CommentReference">
    <w:name w:val="annotation reference"/>
    <w:basedOn w:val="DefaultParagraphFont"/>
    <w:uiPriority w:val="99"/>
    <w:semiHidden/>
    <w:unhideWhenUsed/>
    <w:rsid w:val="005769D9"/>
    <w:rPr>
      <w:sz w:val="16"/>
      <w:szCs w:val="16"/>
    </w:rPr>
  </w:style>
  <w:style w:type="paragraph" w:styleId="CommentText">
    <w:name w:val="annotation text"/>
    <w:basedOn w:val="Normal"/>
    <w:link w:val="CommentTextChar"/>
    <w:uiPriority w:val="99"/>
    <w:semiHidden/>
    <w:unhideWhenUsed/>
    <w:rsid w:val="005769D9"/>
    <w:pPr>
      <w:spacing w:line="240" w:lineRule="auto"/>
    </w:pPr>
    <w:rPr>
      <w:sz w:val="20"/>
      <w:szCs w:val="20"/>
    </w:rPr>
  </w:style>
  <w:style w:type="character" w:customStyle="1" w:styleId="CommentTextChar">
    <w:name w:val="Comment Text Char"/>
    <w:basedOn w:val="DefaultParagraphFont"/>
    <w:link w:val="CommentText"/>
    <w:uiPriority w:val="99"/>
    <w:semiHidden/>
    <w:rsid w:val="005769D9"/>
    <w:rPr>
      <w:sz w:val="20"/>
      <w:szCs w:val="20"/>
    </w:rPr>
  </w:style>
  <w:style w:type="paragraph" w:styleId="CommentSubject">
    <w:name w:val="annotation subject"/>
    <w:basedOn w:val="CommentText"/>
    <w:next w:val="CommentText"/>
    <w:link w:val="CommentSubjectChar"/>
    <w:uiPriority w:val="99"/>
    <w:semiHidden/>
    <w:unhideWhenUsed/>
    <w:rsid w:val="005769D9"/>
    <w:rPr>
      <w:b/>
      <w:bCs/>
    </w:rPr>
  </w:style>
  <w:style w:type="character" w:customStyle="1" w:styleId="CommentSubjectChar">
    <w:name w:val="Comment Subject Char"/>
    <w:basedOn w:val="CommentTextChar"/>
    <w:link w:val="CommentSubject"/>
    <w:uiPriority w:val="99"/>
    <w:semiHidden/>
    <w:rsid w:val="005769D9"/>
    <w:rPr>
      <w:b/>
      <w:bCs/>
      <w:sz w:val="20"/>
      <w:szCs w:val="20"/>
    </w:rPr>
  </w:style>
  <w:style w:type="paragraph" w:styleId="NormalWeb">
    <w:name w:val="Normal (Web)"/>
    <w:basedOn w:val="Normal"/>
    <w:uiPriority w:val="99"/>
    <w:unhideWhenUsed/>
    <w:rsid w:val="00011E9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011E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11E9A"/>
    <w:rPr>
      <w:rFonts w:ascii="Courier New" w:eastAsia="Times New Roman" w:hAnsi="Courier New" w:cs="Times New Roman"/>
      <w:sz w:val="20"/>
      <w:szCs w:val="20"/>
    </w:rPr>
  </w:style>
  <w:style w:type="character" w:styleId="UnresolvedMention">
    <w:name w:val="Unresolved Mention"/>
    <w:basedOn w:val="DefaultParagraphFont"/>
    <w:uiPriority w:val="99"/>
    <w:semiHidden/>
    <w:unhideWhenUsed/>
    <w:rsid w:val="007451B5"/>
    <w:rPr>
      <w:color w:val="605E5C"/>
      <w:shd w:val="clear" w:color="auto" w:fill="E1DFDD"/>
    </w:rPr>
  </w:style>
  <w:style w:type="character" w:styleId="Strong">
    <w:name w:val="Strong"/>
    <w:basedOn w:val="DefaultParagraphFont"/>
    <w:uiPriority w:val="22"/>
    <w:qFormat/>
    <w:rsid w:val="00864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8568">
      <w:bodyDiv w:val="1"/>
      <w:marLeft w:val="0"/>
      <w:marRight w:val="0"/>
      <w:marTop w:val="0"/>
      <w:marBottom w:val="0"/>
      <w:divBdr>
        <w:top w:val="none" w:sz="0" w:space="0" w:color="auto"/>
        <w:left w:val="none" w:sz="0" w:space="0" w:color="auto"/>
        <w:bottom w:val="none" w:sz="0" w:space="0" w:color="auto"/>
        <w:right w:val="none" w:sz="0" w:space="0" w:color="auto"/>
      </w:divBdr>
      <w:divsChild>
        <w:div w:id="1468815547">
          <w:marLeft w:val="0"/>
          <w:marRight w:val="0"/>
          <w:marTop w:val="0"/>
          <w:marBottom w:val="0"/>
          <w:divBdr>
            <w:top w:val="none" w:sz="0" w:space="0" w:color="auto"/>
            <w:left w:val="none" w:sz="0" w:space="0" w:color="auto"/>
            <w:bottom w:val="single" w:sz="6" w:space="0" w:color="CFD4D8"/>
            <w:right w:val="none" w:sz="0" w:space="0" w:color="auto"/>
          </w:divBdr>
          <w:divsChild>
            <w:div w:id="1538664757">
              <w:marLeft w:val="0"/>
              <w:marRight w:val="0"/>
              <w:marTop w:val="0"/>
              <w:marBottom w:val="0"/>
              <w:divBdr>
                <w:top w:val="none" w:sz="0" w:space="0" w:color="auto"/>
                <w:left w:val="single" w:sz="6" w:space="14" w:color="CFD4D8"/>
                <w:bottom w:val="none" w:sz="0" w:space="0" w:color="auto"/>
                <w:right w:val="none" w:sz="0" w:space="0" w:color="auto"/>
              </w:divBdr>
              <w:divsChild>
                <w:div w:id="359209124">
                  <w:marLeft w:val="0"/>
                  <w:marRight w:val="0"/>
                  <w:marTop w:val="0"/>
                  <w:marBottom w:val="0"/>
                  <w:divBdr>
                    <w:top w:val="none" w:sz="0" w:space="0" w:color="auto"/>
                    <w:left w:val="none" w:sz="0" w:space="0" w:color="auto"/>
                    <w:bottom w:val="none" w:sz="0" w:space="0" w:color="auto"/>
                    <w:right w:val="none" w:sz="0" w:space="0" w:color="auto"/>
                  </w:divBdr>
                  <w:divsChild>
                    <w:div w:id="10479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406">
      <w:bodyDiv w:val="1"/>
      <w:marLeft w:val="0"/>
      <w:marRight w:val="0"/>
      <w:marTop w:val="0"/>
      <w:marBottom w:val="0"/>
      <w:divBdr>
        <w:top w:val="none" w:sz="0" w:space="0" w:color="auto"/>
        <w:left w:val="none" w:sz="0" w:space="0" w:color="auto"/>
        <w:bottom w:val="none" w:sz="0" w:space="0" w:color="auto"/>
        <w:right w:val="none" w:sz="0" w:space="0" w:color="auto"/>
      </w:divBdr>
      <w:divsChild>
        <w:div w:id="114624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Desktop%202021\joldman@akhc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6FD45-DF4E-437D-82EB-4731CF1E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Perry</dc:creator>
  <cp:keywords/>
  <dc:description/>
  <cp:lastModifiedBy>Alana Ochoa</cp:lastModifiedBy>
  <cp:revision>2</cp:revision>
  <dcterms:created xsi:type="dcterms:W3CDTF">2021-11-18T19:22:00Z</dcterms:created>
  <dcterms:modified xsi:type="dcterms:W3CDTF">2021-11-18T19:22:00Z</dcterms:modified>
</cp:coreProperties>
</file>